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AEE" w:rsidRPr="00EA3937" w:rsidRDefault="00461AEE" w:rsidP="002C3B72">
      <w:pPr>
        <w:rPr>
          <w:b/>
          <w:sz w:val="32"/>
        </w:rPr>
      </w:pPr>
      <w:r>
        <w:rPr>
          <w:b/>
          <w:sz w:val="32"/>
        </w:rPr>
        <w:t>Hoch</w:t>
      </w:r>
      <w:r w:rsidR="007D28A3">
        <w:rPr>
          <w:b/>
          <w:sz w:val="32"/>
        </w:rPr>
        <w:t xml:space="preserve"> </w:t>
      </w:r>
      <w:r>
        <w:rPr>
          <w:b/>
          <w:sz w:val="32"/>
        </w:rPr>
        <w:t xml:space="preserve">hinaus im 4-Tages-Takt mit </w:t>
      </w:r>
      <w:proofErr w:type="spellStart"/>
      <w:r>
        <w:rPr>
          <w:b/>
          <w:sz w:val="32"/>
        </w:rPr>
        <w:t>Doka</w:t>
      </w:r>
      <w:proofErr w:type="spellEnd"/>
    </w:p>
    <w:p w:rsidR="009C2EEF" w:rsidRDefault="009C2EEF" w:rsidP="002C3B72">
      <w:pPr>
        <w:rPr>
          <w:b/>
          <w:highlight w:val="yellow"/>
        </w:rPr>
      </w:pPr>
    </w:p>
    <w:p w:rsidR="006F54ED" w:rsidRPr="00EF3FE2" w:rsidRDefault="008F2ADD" w:rsidP="002C3B72">
      <w:pPr>
        <w:rPr>
          <w:b/>
        </w:rPr>
      </w:pPr>
      <w:r w:rsidRPr="00692780">
        <w:rPr>
          <w:b/>
        </w:rPr>
        <w:t xml:space="preserve">Die Zwillingstürme </w:t>
      </w:r>
      <w:proofErr w:type="spellStart"/>
      <w:r w:rsidR="006F54ED" w:rsidRPr="00692780">
        <w:rPr>
          <w:b/>
        </w:rPr>
        <w:t>Petronas</w:t>
      </w:r>
      <w:proofErr w:type="spellEnd"/>
      <w:r w:rsidR="006F54ED" w:rsidRPr="00692780">
        <w:rPr>
          <w:b/>
        </w:rPr>
        <w:t xml:space="preserve"> Towers gehören zu den bekanntest</w:t>
      </w:r>
      <w:r w:rsidR="00616559" w:rsidRPr="00692780">
        <w:rPr>
          <w:b/>
        </w:rPr>
        <w:t xml:space="preserve">en Hochhäusern in Kuala Lumpur. </w:t>
      </w:r>
      <w:r w:rsidR="00F2388D" w:rsidRPr="00F2388D">
        <w:rPr>
          <w:b/>
          <w:color w:val="auto"/>
        </w:rPr>
        <w:t>Ende</w:t>
      </w:r>
      <w:r w:rsidR="00D5228A" w:rsidRPr="00F2388D">
        <w:rPr>
          <w:b/>
          <w:color w:val="auto"/>
        </w:rPr>
        <w:t xml:space="preserve"> </w:t>
      </w:r>
      <w:r w:rsidR="007D28A3" w:rsidRPr="00F2388D">
        <w:rPr>
          <w:b/>
          <w:color w:val="auto"/>
        </w:rPr>
        <w:t>2018</w:t>
      </w:r>
      <w:r w:rsidR="007D28A3">
        <w:rPr>
          <w:b/>
          <w:color w:val="FFC000"/>
        </w:rPr>
        <w:t xml:space="preserve"> </w:t>
      </w:r>
      <w:r w:rsidR="009C2EEF">
        <w:rPr>
          <w:b/>
        </w:rPr>
        <w:t xml:space="preserve">erhält </w:t>
      </w:r>
      <w:r w:rsidR="00D5228A">
        <w:rPr>
          <w:b/>
        </w:rPr>
        <w:t>die Skyline</w:t>
      </w:r>
      <w:r w:rsidR="00B42655">
        <w:rPr>
          <w:b/>
        </w:rPr>
        <w:t xml:space="preserve"> </w:t>
      </w:r>
      <w:r w:rsidR="006F54ED" w:rsidRPr="00EF3FE2">
        <w:rPr>
          <w:b/>
        </w:rPr>
        <w:t xml:space="preserve">der Hauptstadt </w:t>
      </w:r>
      <w:r w:rsidR="00616559">
        <w:rPr>
          <w:b/>
        </w:rPr>
        <w:t xml:space="preserve">Malaysias </w:t>
      </w:r>
      <w:r w:rsidR="006F54ED" w:rsidRPr="00EF3FE2">
        <w:rPr>
          <w:b/>
        </w:rPr>
        <w:t xml:space="preserve">mit dem </w:t>
      </w:r>
      <w:proofErr w:type="spellStart"/>
      <w:r w:rsidR="006F54ED" w:rsidRPr="00EF3FE2">
        <w:rPr>
          <w:b/>
        </w:rPr>
        <w:t>Signature</w:t>
      </w:r>
      <w:proofErr w:type="spellEnd"/>
      <w:r w:rsidR="006F54ED" w:rsidRPr="00EF3FE2">
        <w:rPr>
          <w:b/>
        </w:rPr>
        <w:t xml:space="preserve"> Tower ein ne</w:t>
      </w:r>
      <w:r w:rsidR="009C2EEF">
        <w:rPr>
          <w:b/>
        </w:rPr>
        <w:t xml:space="preserve">ues architektonisches Highlight. </w:t>
      </w:r>
      <w:r w:rsidR="00D5228A">
        <w:rPr>
          <w:b/>
        </w:rPr>
        <w:t>Das Hochhaus</w:t>
      </w:r>
      <w:r w:rsidR="00EF3FE2" w:rsidRPr="00EF3FE2">
        <w:rPr>
          <w:b/>
        </w:rPr>
        <w:t xml:space="preserve"> wird zu den </w:t>
      </w:r>
      <w:r w:rsidR="00215461">
        <w:rPr>
          <w:b/>
        </w:rPr>
        <w:t xml:space="preserve">höchsten </w:t>
      </w:r>
      <w:r w:rsidR="00D5228A">
        <w:rPr>
          <w:b/>
        </w:rPr>
        <w:t xml:space="preserve">Gebäuden in Asien und zu </w:t>
      </w:r>
      <w:r w:rsidR="00786FD8">
        <w:rPr>
          <w:b/>
        </w:rPr>
        <w:t xml:space="preserve">den </w:t>
      </w:r>
      <w:r w:rsidR="00D5228A">
        <w:rPr>
          <w:b/>
        </w:rPr>
        <w:t xml:space="preserve">Top 15 </w:t>
      </w:r>
      <w:r w:rsidR="00EF3FE2" w:rsidRPr="00EF3FE2">
        <w:rPr>
          <w:b/>
        </w:rPr>
        <w:t xml:space="preserve">der Welt </w:t>
      </w:r>
      <w:r w:rsidR="009C2EEF">
        <w:rPr>
          <w:b/>
        </w:rPr>
        <w:t>zählen</w:t>
      </w:r>
      <w:r w:rsidR="00EF3FE2" w:rsidRPr="00EF3FE2">
        <w:rPr>
          <w:b/>
        </w:rPr>
        <w:t xml:space="preserve">. Beim </w:t>
      </w:r>
      <w:r w:rsidR="00616559">
        <w:rPr>
          <w:b/>
        </w:rPr>
        <w:t xml:space="preserve">Bau des Mega-Projekts ist die </w:t>
      </w:r>
      <w:r w:rsidR="003F1419">
        <w:rPr>
          <w:b/>
        </w:rPr>
        <w:t xml:space="preserve">Schalungsexpertise </w:t>
      </w:r>
      <w:r w:rsidR="00616559">
        <w:rPr>
          <w:b/>
        </w:rPr>
        <w:t xml:space="preserve">von </w:t>
      </w:r>
      <w:proofErr w:type="spellStart"/>
      <w:r w:rsidR="00616559">
        <w:rPr>
          <w:b/>
        </w:rPr>
        <w:t>Doka</w:t>
      </w:r>
      <w:proofErr w:type="spellEnd"/>
      <w:r w:rsidR="00616559">
        <w:rPr>
          <w:b/>
        </w:rPr>
        <w:t xml:space="preserve"> gefragt – </w:t>
      </w:r>
      <w:r>
        <w:rPr>
          <w:b/>
        </w:rPr>
        <w:t>e</w:t>
      </w:r>
      <w:r w:rsidR="00EF3FE2" w:rsidRPr="00EF3FE2">
        <w:rPr>
          <w:b/>
        </w:rPr>
        <w:t xml:space="preserve">in weiterer wichtiger Meilenstein im Hochhausbau für das </w:t>
      </w:r>
      <w:r w:rsidR="009C2EEF">
        <w:rPr>
          <w:b/>
        </w:rPr>
        <w:t xml:space="preserve">österreichische </w:t>
      </w:r>
      <w:r w:rsidR="00EF3FE2" w:rsidRPr="00EF3FE2">
        <w:rPr>
          <w:b/>
        </w:rPr>
        <w:t>Unternehmen.</w:t>
      </w:r>
    </w:p>
    <w:p w:rsidR="006F54ED" w:rsidRDefault="006F54ED" w:rsidP="002C3B72"/>
    <w:p w:rsidR="00123655" w:rsidRDefault="00CB1A96" w:rsidP="002C3B72">
      <w:r w:rsidRPr="00B42655">
        <w:rPr>
          <w:color w:val="auto"/>
        </w:rPr>
        <w:t>439 m ragt</w:t>
      </w:r>
      <w:r>
        <w:t xml:space="preserve"> der malaysische</w:t>
      </w:r>
      <w:r w:rsidR="00F2388D">
        <w:t xml:space="preserve"> Wolkenkratzer </w:t>
      </w:r>
      <w:proofErr w:type="spellStart"/>
      <w:r w:rsidR="00616559">
        <w:t>Signature</w:t>
      </w:r>
      <w:proofErr w:type="spellEnd"/>
      <w:r w:rsidR="00616559">
        <w:t xml:space="preserve"> Tower ab seiner F</w:t>
      </w:r>
      <w:r w:rsidR="00616559" w:rsidRPr="00F2388D">
        <w:rPr>
          <w:color w:val="auto"/>
        </w:rPr>
        <w:t xml:space="preserve">ertigstellung </w:t>
      </w:r>
      <w:r w:rsidR="00F2388D" w:rsidRPr="00F2388D">
        <w:rPr>
          <w:color w:val="auto"/>
        </w:rPr>
        <w:t xml:space="preserve">Ende </w:t>
      </w:r>
      <w:r w:rsidR="00616559" w:rsidRPr="00F2388D">
        <w:rPr>
          <w:color w:val="auto"/>
        </w:rPr>
        <w:t xml:space="preserve">2018 in den Himmel. </w:t>
      </w:r>
      <w:r w:rsidR="008F2ADD" w:rsidRPr="00F2388D">
        <w:rPr>
          <w:color w:val="auto"/>
        </w:rPr>
        <w:t xml:space="preserve">Errichtet wird er </w:t>
      </w:r>
      <w:r w:rsidR="0014515C" w:rsidRPr="00F2388D">
        <w:rPr>
          <w:color w:val="auto"/>
        </w:rPr>
        <w:t xml:space="preserve">im </w:t>
      </w:r>
      <w:r w:rsidR="00A02AFD" w:rsidRPr="00F2388D">
        <w:rPr>
          <w:color w:val="auto"/>
        </w:rPr>
        <w:t>Stadtteil</w:t>
      </w:r>
      <w:r w:rsidR="00165E1B" w:rsidRPr="00F2388D">
        <w:rPr>
          <w:color w:val="auto"/>
        </w:rPr>
        <w:t xml:space="preserve"> Tun </w:t>
      </w:r>
      <w:proofErr w:type="spellStart"/>
      <w:r w:rsidR="00165E1B" w:rsidRPr="00F2388D">
        <w:rPr>
          <w:color w:val="auto"/>
        </w:rPr>
        <w:t>Razak</w:t>
      </w:r>
      <w:proofErr w:type="spellEnd"/>
      <w:r w:rsidR="00165E1B" w:rsidRPr="00F2388D">
        <w:rPr>
          <w:color w:val="auto"/>
        </w:rPr>
        <w:t xml:space="preserve"> Exchange</w:t>
      </w:r>
      <w:r w:rsidR="00BD32D2">
        <w:rPr>
          <w:color w:val="auto"/>
        </w:rPr>
        <w:t>, welcher</w:t>
      </w:r>
      <w:r w:rsidR="0014515C" w:rsidRPr="00F2388D">
        <w:rPr>
          <w:color w:val="auto"/>
        </w:rPr>
        <w:t xml:space="preserve"> derzeit auf einer Fläche von insgesamt </w:t>
      </w:r>
      <w:r w:rsidR="00F2388D" w:rsidRPr="00F2388D">
        <w:rPr>
          <w:color w:val="auto"/>
        </w:rPr>
        <w:t xml:space="preserve">13.877 </w:t>
      </w:r>
      <w:r w:rsidR="00A35E0B" w:rsidRPr="00F2388D">
        <w:rPr>
          <w:color w:val="auto"/>
        </w:rPr>
        <w:t>m²</w:t>
      </w:r>
      <w:r w:rsidR="0014515C" w:rsidRPr="00F2388D">
        <w:rPr>
          <w:color w:val="auto"/>
        </w:rPr>
        <w:t xml:space="preserve"> </w:t>
      </w:r>
      <w:r w:rsidR="00C80ADD" w:rsidRPr="00F2388D">
        <w:rPr>
          <w:color w:val="auto"/>
        </w:rPr>
        <w:t xml:space="preserve">im </w:t>
      </w:r>
      <w:r w:rsidR="00C80ADD">
        <w:t>Herzen</w:t>
      </w:r>
      <w:r w:rsidR="0014515C">
        <w:t xml:space="preserve"> von Kuala Lumpur entsteht. Das Viertel </w:t>
      </w:r>
      <w:r w:rsidR="00167DC2">
        <w:t xml:space="preserve">soll </w:t>
      </w:r>
      <w:r w:rsidR="00A35E0B">
        <w:t>das</w:t>
      </w:r>
      <w:r w:rsidR="0014515C">
        <w:t xml:space="preserve"> zukünftige </w:t>
      </w:r>
      <w:r w:rsidR="00F2388D">
        <w:t xml:space="preserve">internationale </w:t>
      </w:r>
      <w:r w:rsidR="0014515C">
        <w:t xml:space="preserve">Finanz- und Bankenzentrum in Malaysia </w:t>
      </w:r>
      <w:r w:rsidR="00A35E0B">
        <w:t>werden.</w:t>
      </w:r>
    </w:p>
    <w:p w:rsidR="00123655" w:rsidRDefault="00123655" w:rsidP="002C3B72"/>
    <w:p w:rsidR="008956EC" w:rsidRDefault="00BD56B6" w:rsidP="002C3B72">
      <w:r>
        <w:t xml:space="preserve">Das Design des </w:t>
      </w:r>
      <w:proofErr w:type="spellStart"/>
      <w:r>
        <w:t>Signature</w:t>
      </w:r>
      <w:proofErr w:type="spellEnd"/>
      <w:r>
        <w:t xml:space="preserve"> Towers stammt aus der Feder von </w:t>
      </w:r>
      <w:proofErr w:type="spellStart"/>
      <w:r>
        <w:t>Mulia</w:t>
      </w:r>
      <w:proofErr w:type="spellEnd"/>
      <w:r>
        <w:t xml:space="preserve"> Group </w:t>
      </w:r>
      <w:proofErr w:type="spellStart"/>
      <w:r>
        <w:t>Architects</w:t>
      </w:r>
      <w:proofErr w:type="spellEnd"/>
      <w:r>
        <w:t xml:space="preserve">. Das Gebäude verjüngt sich kontinuierlich nach oben und mündet in einer 48 m hohen </w:t>
      </w:r>
      <w:proofErr w:type="spellStart"/>
      <w:r>
        <w:t>beleuchtbaren</w:t>
      </w:r>
      <w:proofErr w:type="spellEnd"/>
      <w:r>
        <w:t xml:space="preserve"> Krone, die aus einem speziellen Glas </w:t>
      </w:r>
      <w:r w:rsidR="00F9491A">
        <w:t>ge</w:t>
      </w:r>
      <w:r w:rsidR="00786FD8">
        <w:t>fertigt ist</w:t>
      </w:r>
      <w:r w:rsidR="00FF07AB">
        <w:t>. In d</w:t>
      </w:r>
      <w:r>
        <w:t>er Abenddämmerung und während der Nacht</w:t>
      </w:r>
      <w:r w:rsidR="00BD32D2">
        <w:t xml:space="preserve"> </w:t>
      </w:r>
      <w:r w:rsidR="00FF07AB">
        <w:t xml:space="preserve">wird das Hochhaus </w:t>
      </w:r>
      <w:r w:rsidR="00A666AA">
        <w:t xml:space="preserve">einen </w:t>
      </w:r>
      <w:r w:rsidR="00D9080D">
        <w:t>einzigartigen</w:t>
      </w:r>
      <w:r>
        <w:t xml:space="preserve"> Lichtakzent in der mala</w:t>
      </w:r>
      <w:r w:rsidR="00FF07AB">
        <w:t>ysischen Hauptstadt setzen.</w:t>
      </w:r>
    </w:p>
    <w:p w:rsidR="00EF685F" w:rsidRPr="009C2EEF" w:rsidRDefault="00167DC2" w:rsidP="002C3B72">
      <w:r w:rsidRPr="009C2EEF">
        <w:t xml:space="preserve">Bauträger des </w:t>
      </w:r>
      <w:r w:rsidR="00A666AA" w:rsidRPr="009C2EEF">
        <w:t xml:space="preserve">neuen Wolkenkratzers </w:t>
      </w:r>
      <w:r w:rsidRPr="009C2EEF">
        <w:t xml:space="preserve">ist die </w:t>
      </w:r>
      <w:r w:rsidR="005A57D3" w:rsidRPr="009C2EEF">
        <w:rPr>
          <w:color w:val="auto"/>
        </w:rPr>
        <w:t xml:space="preserve">indonesische </w:t>
      </w:r>
      <w:proofErr w:type="spellStart"/>
      <w:r w:rsidR="005A57D3" w:rsidRPr="009C2EEF">
        <w:rPr>
          <w:color w:val="auto"/>
        </w:rPr>
        <w:t>Mu</w:t>
      </w:r>
      <w:r w:rsidRPr="009C2EEF">
        <w:rPr>
          <w:color w:val="auto"/>
        </w:rPr>
        <w:t>lia</w:t>
      </w:r>
      <w:proofErr w:type="spellEnd"/>
      <w:r w:rsidRPr="009C2EEF">
        <w:rPr>
          <w:color w:val="auto"/>
        </w:rPr>
        <w:t xml:space="preserve"> Group, die das Projekt mit 92 Stockwerken vorwiegend als Bürogebäude geplant hat. </w:t>
      </w:r>
      <w:r w:rsidR="00A666AA" w:rsidRPr="009C2EEF">
        <w:rPr>
          <w:color w:val="auto"/>
        </w:rPr>
        <w:t>Die einzelnen Stockwerke haben eine durchschnittliche Größe von 3.100 m²</w:t>
      </w:r>
      <w:r w:rsidR="00FF07AB" w:rsidRPr="009C2EEF">
        <w:rPr>
          <w:color w:val="auto"/>
        </w:rPr>
        <w:t xml:space="preserve"> und </w:t>
      </w:r>
      <w:r w:rsidR="00A666AA" w:rsidRPr="009C2EEF">
        <w:t xml:space="preserve">kommen ganz ohne Säulen aus. </w:t>
      </w:r>
      <w:proofErr w:type="spellStart"/>
      <w:r w:rsidR="00894A7D" w:rsidRPr="009C2EEF">
        <w:rPr>
          <w:lang w:val="en-US"/>
        </w:rPr>
        <w:t>Ausführende</w:t>
      </w:r>
      <w:proofErr w:type="spellEnd"/>
      <w:r w:rsidR="00894A7D" w:rsidRPr="009C2EEF">
        <w:rPr>
          <w:lang w:val="en-US"/>
        </w:rPr>
        <w:t xml:space="preserve"> </w:t>
      </w:r>
      <w:proofErr w:type="spellStart"/>
      <w:r w:rsidR="00894A7D" w:rsidRPr="009C2EEF">
        <w:rPr>
          <w:lang w:val="en-US"/>
        </w:rPr>
        <w:t>Baufirma</w:t>
      </w:r>
      <w:proofErr w:type="spellEnd"/>
      <w:r w:rsidR="00894A7D" w:rsidRPr="009C2EEF">
        <w:rPr>
          <w:lang w:val="en-US"/>
        </w:rPr>
        <w:t xml:space="preserve"> </w:t>
      </w:r>
      <w:proofErr w:type="spellStart"/>
      <w:proofErr w:type="gramStart"/>
      <w:r w:rsidR="00894A7D" w:rsidRPr="009C2EEF">
        <w:rPr>
          <w:lang w:val="en-US"/>
        </w:rPr>
        <w:t>ist</w:t>
      </w:r>
      <w:proofErr w:type="spellEnd"/>
      <w:proofErr w:type="gramEnd"/>
      <w:r w:rsidR="00894A7D" w:rsidRPr="009C2EEF">
        <w:rPr>
          <w:lang w:val="en-US"/>
        </w:rPr>
        <w:t xml:space="preserve"> die </w:t>
      </w:r>
      <w:r w:rsidR="00F2388D" w:rsidRPr="009C2EEF">
        <w:rPr>
          <w:lang w:val="en-US"/>
        </w:rPr>
        <w:t>China Sta</w:t>
      </w:r>
      <w:r w:rsidR="003716EB">
        <w:rPr>
          <w:lang w:val="en-US"/>
        </w:rPr>
        <w:t xml:space="preserve">te Construction Engineering </w:t>
      </w:r>
      <w:r w:rsidR="00F2388D" w:rsidRPr="009C2EEF">
        <w:rPr>
          <w:lang w:val="en-US"/>
        </w:rPr>
        <w:t>Corporation</w:t>
      </w:r>
      <w:r w:rsidR="005A57D3" w:rsidRPr="009C2EEF">
        <w:rPr>
          <w:lang w:val="en-US"/>
        </w:rPr>
        <w:t xml:space="preserve">. </w:t>
      </w:r>
      <w:r w:rsidR="005A57D3" w:rsidRPr="009C2EEF">
        <w:t>Beim</w:t>
      </w:r>
      <w:r w:rsidR="00A666AA" w:rsidRPr="009C2EEF">
        <w:t xml:space="preserve"> Thema Schalung </w:t>
      </w:r>
      <w:r w:rsidR="00BD32D2">
        <w:t xml:space="preserve">setzt die </w:t>
      </w:r>
      <w:proofErr w:type="spellStart"/>
      <w:r w:rsidR="00BD32D2">
        <w:t>Mulia</w:t>
      </w:r>
      <w:proofErr w:type="spellEnd"/>
      <w:r w:rsidR="00BD32D2">
        <w:t xml:space="preserve"> Group </w:t>
      </w:r>
      <w:r w:rsidR="00A666AA" w:rsidRPr="009C2EEF">
        <w:t xml:space="preserve">auf die langjährige Erfahrung </w:t>
      </w:r>
      <w:r w:rsidR="005040D1" w:rsidRPr="009C2EEF">
        <w:t xml:space="preserve">und die </w:t>
      </w:r>
      <w:r w:rsidR="00786FD8" w:rsidRPr="009C2EEF">
        <w:t>innovativen</w:t>
      </w:r>
      <w:r w:rsidR="005040D1" w:rsidRPr="009C2EEF">
        <w:t xml:space="preserve"> Ansätze von </w:t>
      </w:r>
      <w:proofErr w:type="spellStart"/>
      <w:r w:rsidR="005040D1" w:rsidRPr="009C2EEF">
        <w:t>Doka</w:t>
      </w:r>
      <w:proofErr w:type="spellEnd"/>
      <w:r w:rsidR="005040D1" w:rsidRPr="009C2EEF">
        <w:t xml:space="preserve"> im</w:t>
      </w:r>
      <w:r w:rsidR="00BD32D2">
        <w:t xml:space="preserve"> Hochhausbau</w:t>
      </w:r>
      <w:r w:rsidR="00A666AA" w:rsidRPr="009C2EEF">
        <w:t xml:space="preserve">. Im Frühling 2016 starteten die Bauarbeiten. </w:t>
      </w:r>
    </w:p>
    <w:p w:rsidR="002A48AA" w:rsidRPr="009C2EEF" w:rsidRDefault="002A48AA" w:rsidP="002C3B72"/>
    <w:p w:rsidR="00A666AA" w:rsidRPr="00A666AA" w:rsidRDefault="00FF07AB" w:rsidP="002C3B72">
      <w:pPr>
        <w:rPr>
          <w:b/>
        </w:rPr>
      </w:pPr>
      <w:r>
        <w:rPr>
          <w:b/>
        </w:rPr>
        <w:t xml:space="preserve">Entkoppelung der </w:t>
      </w:r>
      <w:r w:rsidR="00CD72B1">
        <w:rPr>
          <w:b/>
        </w:rPr>
        <w:t>Sc</w:t>
      </w:r>
      <w:r>
        <w:rPr>
          <w:b/>
        </w:rPr>
        <w:t>halungs- und Bewehrungsarbeiten</w:t>
      </w:r>
    </w:p>
    <w:p w:rsidR="00315B0E" w:rsidRDefault="002A48AA" w:rsidP="00315B0E">
      <w:r>
        <w:t xml:space="preserve">Für den Bau des </w:t>
      </w:r>
      <w:proofErr w:type="spellStart"/>
      <w:r>
        <w:t>Signature</w:t>
      </w:r>
      <w:proofErr w:type="spellEnd"/>
      <w:r>
        <w:t xml:space="preserve"> Towers</w:t>
      </w:r>
      <w:r w:rsidR="00DD1778">
        <w:t xml:space="preserve">, der aus einem Gebäudekern </w:t>
      </w:r>
      <w:r w:rsidR="00D8057E">
        <w:t xml:space="preserve">aus Stahlbeton </w:t>
      </w:r>
      <w:r w:rsidR="00DD1778">
        <w:t xml:space="preserve">und Decken in Verbundbauweise besteht, </w:t>
      </w:r>
      <w:r>
        <w:t xml:space="preserve">entwickelte die </w:t>
      </w:r>
      <w:proofErr w:type="spellStart"/>
      <w:r>
        <w:t>Doka</w:t>
      </w:r>
      <w:proofErr w:type="spellEnd"/>
      <w:r>
        <w:t xml:space="preserve">-Niederlassung in Malaysia in enger Zusammenarbeit mit den </w:t>
      </w:r>
      <w:proofErr w:type="spellStart"/>
      <w:r>
        <w:t>Highrise</w:t>
      </w:r>
      <w:proofErr w:type="spellEnd"/>
      <w:r>
        <w:t xml:space="preserve"> Experten im </w:t>
      </w:r>
      <w:proofErr w:type="spellStart"/>
      <w:r>
        <w:t>Headquarter</w:t>
      </w:r>
      <w:proofErr w:type="spellEnd"/>
      <w:r>
        <w:t xml:space="preserve"> in Amstetten ein ausgeklügeltes Sc</w:t>
      </w:r>
      <w:r w:rsidR="00D95C3F">
        <w:t>halungs- und Sicherheitskonzept</w:t>
      </w:r>
      <w:r w:rsidR="00FF07AB">
        <w:t>,</w:t>
      </w:r>
      <w:r w:rsidR="00D95C3F">
        <w:t xml:space="preserve"> abgestimmt auf den straffen Zeitplan und die hohen Sicherheitsanforderungen auf Kundenseite.</w:t>
      </w:r>
      <w:r w:rsidR="00D9080D" w:rsidRPr="00D9080D">
        <w:t xml:space="preserve"> </w:t>
      </w:r>
      <w:r w:rsidR="00315B0E">
        <w:t>„</w:t>
      </w:r>
      <w:proofErr w:type="spellStart"/>
      <w:r w:rsidR="00315B0E" w:rsidRPr="00315B0E">
        <w:t>Mulias</w:t>
      </w:r>
      <w:proofErr w:type="spellEnd"/>
      <w:r w:rsidR="00315B0E" w:rsidRPr="00315B0E">
        <w:t xml:space="preserve"> </w:t>
      </w:r>
      <w:proofErr w:type="spellStart"/>
      <w:r w:rsidR="00315B0E" w:rsidRPr="00315B0E">
        <w:t>Signature</w:t>
      </w:r>
      <w:proofErr w:type="spellEnd"/>
      <w:r w:rsidR="00315B0E" w:rsidRPr="00315B0E">
        <w:t xml:space="preserve"> Tower ist ein Superhochh</w:t>
      </w:r>
      <w:r w:rsidR="00315B0E">
        <w:t>aus mit einem engen Bauzeitplan. Dahe</w:t>
      </w:r>
      <w:r w:rsidR="00315B0E" w:rsidRPr="00315B0E">
        <w:t xml:space="preserve">r war es für uns wichtig, einen zuverlässigen Partner an Bord </w:t>
      </w:r>
      <w:r w:rsidR="00E43C4B">
        <w:t>z</w:t>
      </w:r>
      <w:r w:rsidR="00315B0E" w:rsidRPr="00315B0E">
        <w:t xml:space="preserve">u haben, der sowohl international als auch vor Ort Erfahrung hat. Die </w:t>
      </w:r>
      <w:proofErr w:type="spellStart"/>
      <w:r w:rsidR="00315B0E">
        <w:t>Doka</w:t>
      </w:r>
      <w:proofErr w:type="spellEnd"/>
      <w:r w:rsidR="00315B0E">
        <w:t>-</w:t>
      </w:r>
      <w:r w:rsidR="00315B0E" w:rsidRPr="00315B0E">
        <w:t>Kletterschalung für den Kern</w:t>
      </w:r>
      <w:r w:rsidR="00315B0E">
        <w:t xml:space="preserve">, </w:t>
      </w:r>
      <w:r w:rsidR="00315B0E" w:rsidRPr="00315B0E">
        <w:t>die Einweisung</w:t>
      </w:r>
      <w:r w:rsidR="00315B0E">
        <w:t xml:space="preserve"> in die </w:t>
      </w:r>
      <w:r w:rsidR="00315B0E" w:rsidRPr="00315B0E">
        <w:t>Schalungsmontage</w:t>
      </w:r>
      <w:r w:rsidR="00315B0E">
        <w:t xml:space="preserve"> sowie</w:t>
      </w:r>
      <w:r w:rsidR="00315B0E" w:rsidRPr="00315B0E">
        <w:t xml:space="preserve"> die Schul</w:t>
      </w:r>
      <w:r w:rsidR="00315B0E">
        <w:t>ung der Arbeitskräfte ermöglich</w:t>
      </w:r>
      <w:r w:rsidR="00315B0E" w:rsidRPr="00315B0E">
        <w:t xml:space="preserve">en einen </w:t>
      </w:r>
      <w:r w:rsidR="00315B0E">
        <w:t>4-Tages-Takt</w:t>
      </w:r>
      <w:r w:rsidR="00315B0E" w:rsidRPr="00315B0E">
        <w:t xml:space="preserve"> pro Stockwerk, und das auch noch mit der größtmöglichen </w:t>
      </w:r>
      <w:r w:rsidR="00617F54">
        <w:t>Effizienz und Qualität", betont</w:t>
      </w:r>
      <w:r w:rsidR="00315B0E" w:rsidRPr="00315B0E">
        <w:t xml:space="preserve"> Corey</w:t>
      </w:r>
      <w:r w:rsidR="00E43C4B">
        <w:t xml:space="preserve"> Suckling, Projektingenieur bei </w:t>
      </w:r>
      <w:proofErr w:type="spellStart"/>
      <w:r w:rsidR="00315B0E" w:rsidRPr="00315B0E">
        <w:t>Mulia</w:t>
      </w:r>
      <w:proofErr w:type="spellEnd"/>
      <w:r w:rsidR="00315B0E" w:rsidRPr="00315B0E">
        <w:t xml:space="preserve"> Property Development.</w:t>
      </w:r>
    </w:p>
    <w:p w:rsidR="00315B0E" w:rsidRPr="00D9080D" w:rsidRDefault="00315B0E" w:rsidP="00D9080D">
      <w:pPr>
        <w:rPr>
          <w:i/>
        </w:rPr>
      </w:pPr>
    </w:p>
    <w:p w:rsidR="00DD1778" w:rsidRDefault="00AC5F9C" w:rsidP="00DD1778">
      <w:r>
        <w:t xml:space="preserve">Das Besondere bei diesem Bauvorhaben ist der äußerst große Gebäudekern, der mit der Selbstkletterschalung SKE plus </w:t>
      </w:r>
      <w:r w:rsidR="00B42655">
        <w:t>errichtet wird</w:t>
      </w:r>
      <w:r w:rsidR="00DD1778">
        <w:t xml:space="preserve">. </w:t>
      </w:r>
      <w:r>
        <w:t xml:space="preserve">Im Einsatz sind SKE100 plus und SKE50 plus Klettereinheiten. Durch die Kombination kann die Projektlösung effizient und vor allem schnell realisiert werden. </w:t>
      </w:r>
      <w:r w:rsidRPr="00D8057E">
        <w:rPr>
          <w:color w:val="auto"/>
        </w:rPr>
        <w:t>Mit einer Hubkraft von 10 t je Klettereinheit eignet sich das SKE1</w:t>
      </w:r>
      <w:r w:rsidR="00B42655" w:rsidRPr="00D8057E">
        <w:rPr>
          <w:color w:val="auto"/>
        </w:rPr>
        <w:t>00 plus</w:t>
      </w:r>
      <w:r w:rsidR="00440490">
        <w:rPr>
          <w:color w:val="auto"/>
        </w:rPr>
        <w:t xml:space="preserve">-System </w:t>
      </w:r>
      <w:r w:rsidR="00636028">
        <w:rPr>
          <w:color w:val="auto"/>
        </w:rPr>
        <w:t xml:space="preserve">insbesondere </w:t>
      </w:r>
      <w:r w:rsidR="00D8057E" w:rsidRPr="00D8057E">
        <w:rPr>
          <w:color w:val="auto"/>
        </w:rPr>
        <w:t xml:space="preserve">für die Struktur des Gebäudekerns </w:t>
      </w:r>
      <w:r w:rsidRPr="00D8057E">
        <w:rPr>
          <w:color w:val="auto"/>
        </w:rPr>
        <w:t xml:space="preserve">und </w:t>
      </w:r>
      <w:r w:rsidR="00461AEE" w:rsidRPr="00D8057E">
        <w:rPr>
          <w:color w:val="auto"/>
        </w:rPr>
        <w:t xml:space="preserve">den </w:t>
      </w:r>
      <w:r w:rsidR="00786FD8" w:rsidRPr="00D8057E">
        <w:rPr>
          <w:color w:val="auto"/>
        </w:rPr>
        <w:t>hohen</w:t>
      </w:r>
      <w:r w:rsidRPr="00D8057E">
        <w:rPr>
          <w:color w:val="auto"/>
        </w:rPr>
        <w:t xml:space="preserve"> Anteil an Bewehrungsmaterial</w:t>
      </w:r>
      <w:r w:rsidR="00624324" w:rsidRPr="00D8057E">
        <w:rPr>
          <w:color w:val="auto"/>
        </w:rPr>
        <w:t>.</w:t>
      </w:r>
      <w:r w:rsidR="00DD1778">
        <w:t xml:space="preserve"> Die Selbstklettersysteme werden mit der Trägerschalung Top 50 kombiniert</w:t>
      </w:r>
      <w:r w:rsidR="00BE1E4D">
        <w:t>, die dem Beton seine Form gibt</w:t>
      </w:r>
      <w:r w:rsidR="00A221B3">
        <w:t xml:space="preserve">. </w:t>
      </w:r>
      <w:r w:rsidR="00636028">
        <w:t>Die Top 50 Schalung</w:t>
      </w:r>
      <w:r w:rsidR="00A221B3">
        <w:t xml:space="preserve"> ist</w:t>
      </w:r>
      <w:r w:rsidR="00636028">
        <w:t xml:space="preserve"> mittels Rollen abgehängt und</w:t>
      </w:r>
      <w:r w:rsidR="00A221B3">
        <w:t xml:space="preserve"> ermöglicht </w:t>
      </w:r>
      <w:r w:rsidR="00636028">
        <w:t xml:space="preserve">so </w:t>
      </w:r>
      <w:r w:rsidR="00A221B3">
        <w:t xml:space="preserve">schnelle Schalzeiten und große Ausschalwege. </w:t>
      </w:r>
      <w:r w:rsidR="00DD1778">
        <w:t xml:space="preserve">Um einen aufwändigen Wechsel der Schalhaut zu vermeiden, wurde </w:t>
      </w:r>
      <w:r w:rsidR="00636028">
        <w:t>die Schalung</w:t>
      </w:r>
      <w:r w:rsidR="00F9491A">
        <w:t xml:space="preserve"> </w:t>
      </w:r>
      <w:r w:rsidR="00B61DDC">
        <w:t>mit Xlife Platten belegt und mit Stahlecken versehen,</w:t>
      </w:r>
      <w:r w:rsidR="00DD1778">
        <w:t xml:space="preserve"> die enorm hohe Einsatzzahlen zulassen.   </w:t>
      </w:r>
    </w:p>
    <w:p w:rsidR="009C2EEF" w:rsidRDefault="009C2EEF" w:rsidP="00DD1778"/>
    <w:p w:rsidR="00BD56B6" w:rsidRDefault="00BD56B6" w:rsidP="002C3B72">
      <w:r>
        <w:t>Die Selbstkletterschalung SKE100 plus wird mit aufgeh</w:t>
      </w:r>
      <w:r w:rsidR="00AC5F9C">
        <w:t>enden Arbeitsbühnen ausgeführt. D</w:t>
      </w:r>
      <w:r w:rsidR="009C2EEF">
        <w:t>as heißt</w:t>
      </w:r>
      <w:r w:rsidR="00AC5F9C">
        <w:t xml:space="preserve"> Schalungs- und Bewehrungsarbeiten </w:t>
      </w:r>
      <w:r w:rsidR="003008C0">
        <w:t xml:space="preserve">sind voneinander entkoppelt, sodass in mehreren Ebenen gleichzeitig gearbeitet werden kann. Auf </w:t>
      </w:r>
      <w:r w:rsidR="00786FD8">
        <w:t xml:space="preserve">der Hauptarbeitsbühne </w:t>
      </w:r>
      <w:r w:rsidR="00636028">
        <w:t>werden die</w:t>
      </w:r>
      <w:r w:rsidR="002A3351">
        <w:t xml:space="preserve"> Schalungsarbeiten</w:t>
      </w:r>
      <w:r w:rsidR="00636028">
        <w:t xml:space="preserve"> verrichtet</w:t>
      </w:r>
      <w:r w:rsidR="002A3351">
        <w:t>.</w:t>
      </w:r>
      <w:r w:rsidR="003008C0">
        <w:t xml:space="preserve"> Oberhalb und unterhalb </w:t>
      </w:r>
      <w:r w:rsidR="00FF07AB">
        <w:t>sind</w:t>
      </w:r>
      <w:r w:rsidR="003008C0">
        <w:t xml:space="preserve"> </w:t>
      </w:r>
      <w:r w:rsidR="002A3351">
        <w:t>Arbeitsbühnen</w:t>
      </w:r>
      <w:r w:rsidR="003008C0">
        <w:t xml:space="preserve"> integriert, auf denen der Einbau der Bewehrung</w:t>
      </w:r>
      <w:r w:rsidR="00636028">
        <w:t xml:space="preserve">, </w:t>
      </w:r>
      <w:r w:rsidR="003008C0">
        <w:t>das Betonieren</w:t>
      </w:r>
      <w:r w:rsidR="00636028">
        <w:t xml:space="preserve">, </w:t>
      </w:r>
      <w:r w:rsidR="003008C0">
        <w:t>die Bedienung des Klettersystem</w:t>
      </w:r>
      <w:r w:rsidR="00636028">
        <w:t xml:space="preserve">s, die </w:t>
      </w:r>
      <w:r w:rsidR="003008C0">
        <w:t>Nacharbeiten am Beton</w:t>
      </w:r>
      <w:r w:rsidR="002A3351">
        <w:t xml:space="preserve"> </w:t>
      </w:r>
      <w:r w:rsidR="00636028">
        <w:t>sowie</w:t>
      </w:r>
      <w:r w:rsidR="002A3351">
        <w:t xml:space="preserve"> die Montage von Anschlussteilen der Stahlverbunddecke</w:t>
      </w:r>
      <w:r w:rsidR="003008C0">
        <w:t xml:space="preserve"> erfolgen. </w:t>
      </w:r>
      <w:r w:rsidR="00CD72B1">
        <w:t xml:space="preserve">Durch das </w:t>
      </w:r>
      <w:r w:rsidR="00FF07AB">
        <w:t>parallele</w:t>
      </w:r>
      <w:r w:rsidR="009F1709">
        <w:t xml:space="preserve"> Arbeiten wird der Bauablauf beschleunigt und die Bauzeit verkürzt. </w:t>
      </w:r>
      <w:r>
        <w:t>Außerdem bietet das SKE100 plus-System ausreichend Ablageplatz für da</w:t>
      </w:r>
      <w:r w:rsidR="00CD72B1">
        <w:t xml:space="preserve">s benötigte Bewehrungsmaterial, </w:t>
      </w:r>
      <w:r w:rsidR="00AE59B2">
        <w:t>das für die Baustellenmannschaft so schnell griffbereit ist.</w:t>
      </w:r>
      <w:r w:rsidR="00CD72B1">
        <w:t xml:space="preserve">  </w:t>
      </w:r>
    </w:p>
    <w:p w:rsidR="00F9491A" w:rsidRDefault="00F9491A" w:rsidP="002C3B72"/>
    <w:p w:rsidR="00CD72B1" w:rsidRDefault="00CD72B1" w:rsidP="002C3B72">
      <w:r w:rsidRPr="00A666AA">
        <w:rPr>
          <w:b/>
        </w:rPr>
        <w:t xml:space="preserve">Gebäudekern </w:t>
      </w:r>
      <w:r w:rsidR="00F83031">
        <w:rPr>
          <w:b/>
        </w:rPr>
        <w:t xml:space="preserve">klettert </w:t>
      </w:r>
      <w:r w:rsidRPr="00A666AA">
        <w:rPr>
          <w:b/>
        </w:rPr>
        <w:t>in zwei Abschnitt</w:t>
      </w:r>
      <w:r w:rsidR="00F83031">
        <w:rPr>
          <w:b/>
        </w:rPr>
        <w:t>en</w:t>
      </w:r>
    </w:p>
    <w:p w:rsidR="00A33273" w:rsidRPr="00F2388D" w:rsidRDefault="004C56CF" w:rsidP="00A33273">
      <w:pPr>
        <w:rPr>
          <w:szCs w:val="22"/>
        </w:rPr>
      </w:pPr>
      <w:r>
        <w:t>Eine weitere Besonderheit beim Errichten des Gebäudekerns ist, dass dieser in zwei Abschnitte mit mehreren Schächten unterteilt ist. Infolge kann das komplette Klettergerüst an der Außenseite</w:t>
      </w:r>
      <w:r w:rsidR="00FF07AB">
        <w:t xml:space="preserve"> eines </w:t>
      </w:r>
      <w:r w:rsidR="00BD32D2">
        <w:t>Kerna</w:t>
      </w:r>
      <w:r w:rsidR="00FF07AB">
        <w:t>bschnitts</w:t>
      </w:r>
      <w:r>
        <w:t xml:space="preserve"> schnell und sicher in einem Umsetzvorgang hochklettern. Während des Klettervorgangs entstehen keine Öffnungen, womit sichergestellt wird, dass </w:t>
      </w:r>
      <w:r w:rsidR="00FF07AB">
        <w:t>Baumaterialien und -utensilien</w:t>
      </w:r>
      <w:r>
        <w:t xml:space="preserve"> nicht herabfallen. </w:t>
      </w:r>
      <w:r w:rsidR="00F9491A">
        <w:t xml:space="preserve">Durch </w:t>
      </w:r>
      <w:r w:rsidR="00FF07AB">
        <w:t xml:space="preserve">das abwechselnde Umsetzen der Abschnitte des </w:t>
      </w:r>
      <w:r w:rsidR="00F9491A">
        <w:t>Ge</w:t>
      </w:r>
      <w:r w:rsidR="00FF07AB">
        <w:t>bäudekerns</w:t>
      </w:r>
      <w:r w:rsidR="00E533A0">
        <w:t xml:space="preserve"> </w:t>
      </w:r>
      <w:r w:rsidR="00F9491A">
        <w:t xml:space="preserve">wird der Bauablauf enorm beschleunigt. </w:t>
      </w:r>
      <w:r w:rsidR="00A33273">
        <w:t>„</w:t>
      </w:r>
      <w:r w:rsidR="00440490">
        <w:t xml:space="preserve">Damit der 4-Tages-Takt eingehalten werden kann, </w:t>
      </w:r>
      <w:r w:rsidR="00A33273">
        <w:t>muss all</w:t>
      </w:r>
      <w:r w:rsidR="00BD32D2">
        <w:t xml:space="preserve">es aufeinander abgestimmt sein und </w:t>
      </w:r>
      <w:r w:rsidR="00A33273">
        <w:t xml:space="preserve">die verschiedenen Einflussfaktoren müssen </w:t>
      </w:r>
      <w:r w:rsidR="009C2EEF">
        <w:rPr>
          <w:szCs w:val="22"/>
        </w:rPr>
        <w:t>nahtlos zusammen</w:t>
      </w:r>
      <w:r w:rsidR="00A33273" w:rsidRPr="00F2388D">
        <w:rPr>
          <w:szCs w:val="22"/>
        </w:rPr>
        <w:t xml:space="preserve">spielen: schnelles Umsetzen des Klettersystems, ausreichend Ablageplatz für die Bewehrung und gleichzeitige Ausführung von verschiedenen Tätigkeiten wie Schalungs-, Bewehrungs- und Betonier- sowie diverse Nacharbeiten. Das Timing ist enorm wichtig“, betont </w:t>
      </w:r>
      <w:proofErr w:type="spellStart"/>
      <w:r w:rsidR="00F2388D" w:rsidRPr="00F2388D">
        <w:rPr>
          <w:color w:val="auto"/>
          <w:szCs w:val="22"/>
        </w:rPr>
        <w:t>Andhi</w:t>
      </w:r>
      <w:proofErr w:type="spellEnd"/>
      <w:r w:rsidR="00F2388D" w:rsidRPr="00F2388D">
        <w:rPr>
          <w:color w:val="auto"/>
          <w:szCs w:val="22"/>
        </w:rPr>
        <w:t xml:space="preserve"> </w:t>
      </w:r>
      <w:proofErr w:type="spellStart"/>
      <w:r w:rsidR="00F2388D" w:rsidRPr="00F2388D">
        <w:rPr>
          <w:color w:val="auto"/>
          <w:szCs w:val="22"/>
        </w:rPr>
        <w:t>Irawan</w:t>
      </w:r>
      <w:proofErr w:type="spellEnd"/>
      <w:r w:rsidR="00F2388D" w:rsidRPr="00F2388D">
        <w:rPr>
          <w:color w:val="auto"/>
          <w:szCs w:val="22"/>
        </w:rPr>
        <w:t>, Senior Sales Manager</w:t>
      </w:r>
      <w:r w:rsidR="00BD32D2">
        <w:rPr>
          <w:color w:val="auto"/>
          <w:szCs w:val="22"/>
        </w:rPr>
        <w:t xml:space="preserve"> der </w:t>
      </w:r>
      <w:proofErr w:type="spellStart"/>
      <w:r w:rsidR="00F2388D" w:rsidRPr="00F2388D">
        <w:rPr>
          <w:color w:val="auto"/>
          <w:szCs w:val="22"/>
        </w:rPr>
        <w:t>Doka</w:t>
      </w:r>
      <w:proofErr w:type="spellEnd"/>
      <w:r w:rsidR="00F2388D" w:rsidRPr="00F2388D">
        <w:rPr>
          <w:color w:val="auto"/>
          <w:szCs w:val="22"/>
        </w:rPr>
        <w:t xml:space="preserve"> Malaysia</w:t>
      </w:r>
      <w:r w:rsidR="00A33273" w:rsidRPr="00F2388D">
        <w:rPr>
          <w:szCs w:val="22"/>
        </w:rPr>
        <w:t xml:space="preserve">.  </w:t>
      </w:r>
    </w:p>
    <w:p w:rsidR="00A33273" w:rsidRDefault="00A33273" w:rsidP="00A33273"/>
    <w:p w:rsidR="00624324" w:rsidRDefault="00636028" w:rsidP="00624324">
      <w:r>
        <w:t>Bereits bei der Ausarbeitung der</w:t>
      </w:r>
      <w:r w:rsidR="004C56CF">
        <w:t xml:space="preserve"> Schalungslösung </w:t>
      </w:r>
      <w:r w:rsidR="00624324">
        <w:t xml:space="preserve">berücksichtigte </w:t>
      </w:r>
      <w:proofErr w:type="spellStart"/>
      <w:r w:rsidR="00624324">
        <w:t>Doka</w:t>
      </w:r>
      <w:proofErr w:type="spellEnd"/>
      <w:r w:rsidR="00624324">
        <w:t xml:space="preserve"> </w:t>
      </w:r>
      <w:r w:rsidR="00F9491A">
        <w:t xml:space="preserve">auch </w:t>
      </w:r>
      <w:r w:rsidR="00624324">
        <w:t>die zum Einsatz kommenden Kräne im Innen- und Außenbereich des Gebäudekerns. Die Kräne fügen sich nahtlos in das Schalungskonzept ein.</w:t>
      </w:r>
      <w:r w:rsidR="004C56CF">
        <w:t xml:space="preserve"> Auch das </w:t>
      </w:r>
      <w:proofErr w:type="gramStart"/>
      <w:r w:rsidR="004C56CF">
        <w:t>Beton-</w:t>
      </w:r>
      <w:proofErr w:type="spellStart"/>
      <w:r w:rsidR="004C56CF">
        <w:t>Verteilsystems</w:t>
      </w:r>
      <w:proofErr w:type="spellEnd"/>
      <w:proofErr w:type="gramEnd"/>
      <w:r w:rsidR="004C56CF">
        <w:t xml:space="preserve"> wird mit der Selbstkletterschalung SKE100 plus umgesetzt.</w:t>
      </w:r>
      <w:r w:rsidR="00F9491A">
        <w:t xml:space="preserve"> </w:t>
      </w:r>
    </w:p>
    <w:p w:rsidR="004C56CF" w:rsidRDefault="004C56CF" w:rsidP="00624324"/>
    <w:p w:rsidR="00037AC8" w:rsidRPr="00E2599F" w:rsidRDefault="00037AC8" w:rsidP="002C3B72">
      <w:pPr>
        <w:rPr>
          <w:b/>
        </w:rPr>
      </w:pPr>
      <w:r>
        <w:rPr>
          <w:b/>
        </w:rPr>
        <w:t>Auf Nummer sicher</w:t>
      </w:r>
    </w:p>
    <w:p w:rsidR="00E2599F" w:rsidRDefault="00440490" w:rsidP="002C3B72">
      <w:r>
        <w:t xml:space="preserve">Die Fassade des </w:t>
      </w:r>
      <w:proofErr w:type="spellStart"/>
      <w:r w:rsidR="00E2599F">
        <w:t>Signature</w:t>
      </w:r>
      <w:proofErr w:type="spellEnd"/>
      <w:r w:rsidR="00E2599F">
        <w:t xml:space="preserve"> Towers wird als Stahl</w:t>
      </w:r>
      <w:r w:rsidR="00AA1B03">
        <w:t>skelettkonstruktion ausgeführt. Rundumschutz während de</w:t>
      </w:r>
      <w:r w:rsidR="00636028">
        <w:t>r</w:t>
      </w:r>
      <w:r w:rsidR="00AA1B03">
        <w:t xml:space="preserve"> Bauarbeiten bietet das </w:t>
      </w:r>
      <w:proofErr w:type="spellStart"/>
      <w:r w:rsidR="00037AC8">
        <w:t>Doka</w:t>
      </w:r>
      <w:proofErr w:type="spellEnd"/>
      <w:r w:rsidR="00037AC8">
        <w:t xml:space="preserve"> </w:t>
      </w:r>
      <w:r w:rsidR="00AA1B03">
        <w:t xml:space="preserve">Schutzschild Xclimb </w:t>
      </w:r>
      <w:r w:rsidR="00E2599F">
        <w:t xml:space="preserve">60 </w:t>
      </w:r>
      <w:r w:rsidR="00624324">
        <w:t>mit Trapezblech</w:t>
      </w:r>
      <w:r w:rsidR="00636028">
        <w:t>. Das B</w:t>
      </w:r>
      <w:r w:rsidR="00AA1B03">
        <w:t xml:space="preserve">esondere an der variablen Einhausung ist, dass es </w:t>
      </w:r>
      <w:r w:rsidR="00624324">
        <w:t xml:space="preserve">an der Außenseite </w:t>
      </w:r>
      <w:r w:rsidR="00AA1B03">
        <w:t xml:space="preserve">mit integrierten Auffangnetzen ausgestattet ist. </w:t>
      </w:r>
      <w:r w:rsidR="00E2599F">
        <w:t xml:space="preserve">Während die Bewehrungs-, Schalungs- und </w:t>
      </w:r>
      <w:proofErr w:type="spellStart"/>
      <w:r w:rsidR="00E2599F">
        <w:t>Betonierarbeiten</w:t>
      </w:r>
      <w:proofErr w:type="spellEnd"/>
      <w:r w:rsidR="00E2599F">
        <w:t xml:space="preserve"> innerhalb des Schutzschildes erfolgen, werden die Stahl- u</w:t>
      </w:r>
      <w:r w:rsidR="00AA1B03">
        <w:t>nd Schweißarbeiten oberhalb ausgeführt. Die Netze</w:t>
      </w:r>
      <w:r w:rsidR="00624324">
        <w:t xml:space="preserve"> verhindern das Herabfallen von Werkzeug und Kleinteilen</w:t>
      </w:r>
      <w:r w:rsidR="00AA1B03">
        <w:t xml:space="preserve">. </w:t>
      </w:r>
      <w:r w:rsidR="00F9491A">
        <w:t xml:space="preserve">Diese Lösung wurde </w:t>
      </w:r>
      <w:r w:rsidR="00AA1B03">
        <w:t xml:space="preserve">speziell für </w:t>
      </w:r>
      <w:r w:rsidR="00F9491A">
        <w:t xml:space="preserve">die hohen Sicherheitsanforderungen am </w:t>
      </w:r>
      <w:proofErr w:type="spellStart"/>
      <w:r w:rsidR="00F9491A">
        <w:t>Signature</w:t>
      </w:r>
      <w:proofErr w:type="spellEnd"/>
      <w:r w:rsidR="00F9491A">
        <w:t xml:space="preserve"> Tower</w:t>
      </w:r>
      <w:r w:rsidR="00AA1B03">
        <w:t xml:space="preserve"> </w:t>
      </w:r>
      <w:r w:rsidR="00624324">
        <w:t>konzipiert</w:t>
      </w:r>
      <w:r w:rsidR="00F9491A">
        <w:t>. Die Netze</w:t>
      </w:r>
      <w:r w:rsidR="00430B08">
        <w:t xml:space="preserve"> werden im Jänner 2017 montiert und sind dann </w:t>
      </w:r>
      <w:r w:rsidR="00F9491A">
        <w:t xml:space="preserve">weltweit erstmalig im Einsatz. </w:t>
      </w:r>
    </w:p>
    <w:p w:rsidR="00AA1B03" w:rsidRDefault="00AA1B03" w:rsidP="002C3B72"/>
    <w:p w:rsidR="008925E9" w:rsidRDefault="00037AC8">
      <w:r>
        <w:t>Die Arbeitsbühnen bei der Selbstkletterschalung</w:t>
      </w:r>
      <w:r w:rsidR="00636028">
        <w:t xml:space="preserve"> SKE100 plus </w:t>
      </w:r>
      <w:r>
        <w:t xml:space="preserve">sind </w:t>
      </w:r>
      <w:r w:rsidR="00FF07AB">
        <w:t xml:space="preserve">ebenfalls </w:t>
      </w:r>
      <w:r w:rsidR="00BE1E4D">
        <w:t xml:space="preserve">vollflächig mit einem Trapezblech </w:t>
      </w:r>
      <w:proofErr w:type="spellStart"/>
      <w:r w:rsidR="00BE1E4D">
        <w:t>eingehaust</w:t>
      </w:r>
      <w:proofErr w:type="spellEnd"/>
      <w:r w:rsidR="00BE1E4D">
        <w:t xml:space="preserve"> und schützen das Baustellenpersonal vor Absturz und Witterungseinflüssen</w:t>
      </w:r>
      <w:r>
        <w:t xml:space="preserve">. </w:t>
      </w:r>
      <w:r w:rsidR="00624324">
        <w:t>Integrierte Stiegen, anstelle von Leitern, auf den Hauptverkehrswegen verbinden die Arbeitsebenen im Gebäudekern und erhöhen den Sicherheitsstandard auf der Baustelle zusätzlich.</w:t>
      </w:r>
      <w:r w:rsidR="00430B08">
        <w:t xml:space="preserve"> </w:t>
      </w:r>
      <w:r w:rsidR="008925E9">
        <w:t>Jeweils ein</w:t>
      </w:r>
      <w:r w:rsidR="00636028">
        <w:t xml:space="preserve"> </w:t>
      </w:r>
      <w:proofErr w:type="spellStart"/>
      <w:r w:rsidR="002A3351">
        <w:t>Doka</w:t>
      </w:r>
      <w:proofErr w:type="spellEnd"/>
      <w:r w:rsidR="002A3351">
        <w:t xml:space="preserve">-Richtmeister aus Malaysia und </w:t>
      </w:r>
      <w:r w:rsidR="00BD32D2">
        <w:t xml:space="preserve">einer </w:t>
      </w:r>
      <w:r w:rsidR="002A3351">
        <w:t xml:space="preserve">aus </w:t>
      </w:r>
      <w:r w:rsidR="008925E9">
        <w:t xml:space="preserve">dem </w:t>
      </w:r>
      <w:proofErr w:type="spellStart"/>
      <w:r w:rsidR="008925E9">
        <w:t>Headquarter</w:t>
      </w:r>
      <w:proofErr w:type="spellEnd"/>
      <w:r w:rsidR="008925E9">
        <w:t xml:space="preserve"> in </w:t>
      </w:r>
      <w:r w:rsidR="00636028">
        <w:t xml:space="preserve">Amstetten </w:t>
      </w:r>
      <w:r w:rsidR="00430B08">
        <w:t>unterstütz</w:t>
      </w:r>
      <w:r w:rsidR="00BD32D2">
        <w:t>en</w:t>
      </w:r>
      <w:r w:rsidR="00430B08">
        <w:t xml:space="preserve"> außerdem den reibungslosen und effizienten Ablauf der </w:t>
      </w:r>
      <w:r w:rsidR="009C2EEF">
        <w:t>S</w:t>
      </w:r>
      <w:r w:rsidR="00430B08">
        <w:t xml:space="preserve">chalungsarbeiten direkt auf der Baustelle. </w:t>
      </w:r>
      <w:r w:rsidR="008925E9">
        <w:t>Sie helfen</w:t>
      </w:r>
      <w:r w:rsidR="00430B08">
        <w:t xml:space="preserve"> bei der Montage</w:t>
      </w:r>
      <w:r w:rsidR="008925E9">
        <w:t xml:space="preserve"> der Schalungssysteme </w:t>
      </w:r>
      <w:r w:rsidR="009C2EEF">
        <w:t>und weis</w:t>
      </w:r>
      <w:r w:rsidR="008925E9">
        <w:t xml:space="preserve">en </w:t>
      </w:r>
      <w:r w:rsidR="00D1040C">
        <w:t xml:space="preserve">die Baumannschaft fachgerecht in die richtige Handhabung der Kletterautomaten ein. </w:t>
      </w:r>
      <w:r w:rsidR="008925E9">
        <w:br w:type="page"/>
      </w:r>
    </w:p>
    <w:p w:rsidR="004C707F" w:rsidRPr="004C707F" w:rsidRDefault="004C707F" w:rsidP="002C3B72">
      <w:pPr>
        <w:rPr>
          <w:b/>
        </w:rPr>
      </w:pPr>
      <w:r w:rsidRPr="004C707F">
        <w:rPr>
          <w:b/>
        </w:rPr>
        <w:lastRenderedPageBreak/>
        <w:t>Kurz gefasst</w:t>
      </w:r>
    </w:p>
    <w:p w:rsidR="004C707F" w:rsidRPr="00701B60" w:rsidRDefault="004C707F" w:rsidP="002C3B72">
      <w:r w:rsidRPr="00701B60">
        <w:t xml:space="preserve">Projekt: </w:t>
      </w:r>
      <w:r w:rsidRPr="00701B60">
        <w:tab/>
      </w:r>
      <w:r w:rsidRPr="00701B60">
        <w:tab/>
      </w:r>
      <w:r w:rsidRPr="00701B60">
        <w:tab/>
      </w:r>
      <w:proofErr w:type="spellStart"/>
      <w:r w:rsidRPr="00701B60">
        <w:t>Signature</w:t>
      </w:r>
      <w:proofErr w:type="spellEnd"/>
      <w:r w:rsidRPr="00701B60">
        <w:t xml:space="preserve"> Tower</w:t>
      </w:r>
    </w:p>
    <w:p w:rsidR="004C707F" w:rsidRPr="00701B60" w:rsidRDefault="004C707F" w:rsidP="002C3B72">
      <w:r w:rsidRPr="00701B60">
        <w:t xml:space="preserve">Standort: </w:t>
      </w:r>
      <w:r w:rsidRPr="00701B60">
        <w:tab/>
      </w:r>
      <w:r w:rsidRPr="00701B60">
        <w:tab/>
      </w:r>
      <w:r w:rsidRPr="00701B60">
        <w:tab/>
        <w:t>Kuala Lumpur, Malaysia</w:t>
      </w:r>
    </w:p>
    <w:p w:rsidR="004C707F" w:rsidRPr="00440490" w:rsidRDefault="004C707F" w:rsidP="004C707F">
      <w:pPr>
        <w:rPr>
          <w:lang w:val="en-US"/>
        </w:rPr>
      </w:pPr>
      <w:proofErr w:type="spellStart"/>
      <w:r w:rsidRPr="00440490">
        <w:rPr>
          <w:lang w:val="en-US"/>
        </w:rPr>
        <w:t>Bauwerksart</w:t>
      </w:r>
      <w:proofErr w:type="spellEnd"/>
      <w:r w:rsidRPr="00440490">
        <w:rPr>
          <w:lang w:val="en-US"/>
        </w:rPr>
        <w:t>:</w:t>
      </w:r>
      <w:r w:rsidRPr="00440490">
        <w:rPr>
          <w:lang w:val="en-US"/>
        </w:rPr>
        <w:tab/>
      </w:r>
      <w:r w:rsidRPr="00440490">
        <w:rPr>
          <w:lang w:val="en-US"/>
        </w:rPr>
        <w:tab/>
      </w:r>
      <w:r w:rsidRPr="00440490">
        <w:rPr>
          <w:lang w:val="en-US"/>
        </w:rPr>
        <w:tab/>
      </w:r>
      <w:proofErr w:type="spellStart"/>
      <w:r w:rsidRPr="00440490">
        <w:rPr>
          <w:lang w:val="en-US"/>
        </w:rPr>
        <w:t>Bürogebäude</w:t>
      </w:r>
      <w:proofErr w:type="spellEnd"/>
    </w:p>
    <w:p w:rsidR="004C707F" w:rsidRDefault="004C707F" w:rsidP="002C3B72">
      <w:pPr>
        <w:rPr>
          <w:lang w:val="en-US"/>
        </w:rPr>
      </w:pPr>
      <w:proofErr w:type="spellStart"/>
      <w:r>
        <w:rPr>
          <w:lang w:val="en-US"/>
        </w:rPr>
        <w:t>Architekt</w:t>
      </w:r>
      <w:proofErr w:type="spellEnd"/>
      <w:r>
        <w:rPr>
          <w:lang w:val="en-US"/>
        </w:rPr>
        <w:t>:</w:t>
      </w:r>
      <w:r>
        <w:rPr>
          <w:lang w:val="en-US"/>
        </w:rPr>
        <w:tab/>
      </w:r>
      <w:r>
        <w:rPr>
          <w:lang w:val="en-US"/>
        </w:rPr>
        <w:tab/>
      </w:r>
      <w:r>
        <w:rPr>
          <w:lang w:val="en-US"/>
        </w:rPr>
        <w:tab/>
      </w:r>
      <w:proofErr w:type="spellStart"/>
      <w:r>
        <w:rPr>
          <w:lang w:val="en-US"/>
        </w:rPr>
        <w:t>Mulia</w:t>
      </w:r>
      <w:proofErr w:type="spellEnd"/>
      <w:r>
        <w:rPr>
          <w:lang w:val="en-US"/>
        </w:rPr>
        <w:t xml:space="preserve"> Group Architects</w:t>
      </w:r>
    </w:p>
    <w:p w:rsidR="004C707F" w:rsidRPr="00894A7D" w:rsidRDefault="00E316F3" w:rsidP="002C3B72">
      <w:pPr>
        <w:rPr>
          <w:lang w:val="en-US"/>
        </w:rPr>
      </w:pPr>
      <w:proofErr w:type="spellStart"/>
      <w:r w:rsidRPr="00894A7D">
        <w:rPr>
          <w:lang w:val="en-US"/>
        </w:rPr>
        <w:t>Bauträger</w:t>
      </w:r>
      <w:proofErr w:type="spellEnd"/>
      <w:r w:rsidRPr="00894A7D">
        <w:rPr>
          <w:lang w:val="en-US"/>
        </w:rPr>
        <w:t>:</w:t>
      </w:r>
      <w:r w:rsidRPr="00894A7D">
        <w:rPr>
          <w:lang w:val="en-US"/>
        </w:rPr>
        <w:tab/>
      </w:r>
      <w:r w:rsidR="004C707F" w:rsidRPr="00894A7D">
        <w:rPr>
          <w:lang w:val="en-US"/>
        </w:rPr>
        <w:tab/>
      </w:r>
      <w:r w:rsidR="004C707F" w:rsidRPr="00894A7D">
        <w:rPr>
          <w:lang w:val="en-US"/>
        </w:rPr>
        <w:tab/>
      </w:r>
      <w:proofErr w:type="spellStart"/>
      <w:r w:rsidR="00701B60" w:rsidRPr="00894A7D">
        <w:rPr>
          <w:lang w:val="en-US"/>
        </w:rPr>
        <w:t>M</w:t>
      </w:r>
      <w:r w:rsidR="004C707F" w:rsidRPr="00894A7D">
        <w:rPr>
          <w:lang w:val="en-US"/>
        </w:rPr>
        <w:t>ulia</w:t>
      </w:r>
      <w:proofErr w:type="spellEnd"/>
      <w:r w:rsidR="004C707F" w:rsidRPr="00894A7D">
        <w:rPr>
          <w:lang w:val="en-US"/>
        </w:rPr>
        <w:t xml:space="preserve"> Group</w:t>
      </w:r>
    </w:p>
    <w:p w:rsidR="00EA3937" w:rsidRPr="00B70D43" w:rsidRDefault="00EA3937" w:rsidP="002C3B72">
      <w:pPr>
        <w:rPr>
          <w:szCs w:val="22"/>
          <w:lang w:val="en-US"/>
        </w:rPr>
      </w:pPr>
      <w:proofErr w:type="spellStart"/>
      <w:r w:rsidRPr="00894A7D">
        <w:rPr>
          <w:lang w:val="en-US"/>
        </w:rPr>
        <w:t>Baufirma</w:t>
      </w:r>
      <w:proofErr w:type="spellEnd"/>
      <w:r w:rsidRPr="00894A7D">
        <w:rPr>
          <w:lang w:val="en-US"/>
        </w:rPr>
        <w:t>:</w:t>
      </w:r>
      <w:r w:rsidRPr="00894A7D">
        <w:rPr>
          <w:lang w:val="en-US"/>
        </w:rPr>
        <w:tab/>
      </w:r>
      <w:r w:rsidRPr="00894A7D">
        <w:rPr>
          <w:lang w:val="en-US"/>
        </w:rPr>
        <w:tab/>
      </w:r>
      <w:r w:rsidRPr="00894A7D">
        <w:rPr>
          <w:lang w:val="en-US"/>
        </w:rPr>
        <w:tab/>
      </w:r>
      <w:r w:rsidR="00B70D43" w:rsidRPr="00B70D43">
        <w:rPr>
          <w:szCs w:val="22"/>
          <w:lang w:val="en-US"/>
        </w:rPr>
        <w:t>China Sta</w:t>
      </w:r>
      <w:r w:rsidR="003716EB">
        <w:rPr>
          <w:szCs w:val="22"/>
          <w:lang w:val="en-US"/>
        </w:rPr>
        <w:t xml:space="preserve">te Construction Engineering </w:t>
      </w:r>
      <w:r w:rsidR="00B70D43" w:rsidRPr="00B70D43">
        <w:rPr>
          <w:szCs w:val="22"/>
          <w:lang w:val="en-US"/>
        </w:rPr>
        <w:t>Corporation</w:t>
      </w:r>
    </w:p>
    <w:p w:rsidR="004C707F" w:rsidRPr="00440490" w:rsidRDefault="004C707F" w:rsidP="002C3B72">
      <w:pPr>
        <w:rPr>
          <w:color w:val="auto"/>
        </w:rPr>
      </w:pPr>
      <w:r w:rsidRPr="00440490">
        <w:t xml:space="preserve">Baubeginn: </w:t>
      </w:r>
      <w:r w:rsidRPr="00440490">
        <w:tab/>
      </w:r>
      <w:r w:rsidRPr="00440490">
        <w:tab/>
      </w:r>
      <w:r w:rsidRPr="00440490">
        <w:rPr>
          <w:color w:val="auto"/>
        </w:rPr>
        <w:tab/>
        <w:t>Frühling 2016</w:t>
      </w:r>
    </w:p>
    <w:p w:rsidR="004C707F" w:rsidRPr="00440490" w:rsidRDefault="004C707F" w:rsidP="002C3B72">
      <w:pPr>
        <w:rPr>
          <w:color w:val="auto"/>
        </w:rPr>
      </w:pPr>
      <w:r w:rsidRPr="00440490">
        <w:rPr>
          <w:color w:val="auto"/>
        </w:rPr>
        <w:t>Geplante Fertigstellung:</w:t>
      </w:r>
      <w:r w:rsidRPr="00440490">
        <w:rPr>
          <w:color w:val="auto"/>
        </w:rPr>
        <w:tab/>
      </w:r>
      <w:r w:rsidR="00440490" w:rsidRPr="00440490">
        <w:rPr>
          <w:color w:val="auto"/>
        </w:rPr>
        <w:t xml:space="preserve">Ende </w:t>
      </w:r>
      <w:r w:rsidR="00701B60" w:rsidRPr="00440490">
        <w:rPr>
          <w:color w:val="auto"/>
        </w:rPr>
        <w:t>2018</w:t>
      </w:r>
    </w:p>
    <w:p w:rsidR="004C707F" w:rsidRDefault="004C707F" w:rsidP="002C3B72">
      <w:r>
        <w:t xml:space="preserve">Anzahl </w:t>
      </w:r>
      <w:r w:rsidRPr="004C707F">
        <w:t>Stockwerke:</w:t>
      </w:r>
      <w:r w:rsidRPr="004C707F">
        <w:tab/>
      </w:r>
      <w:r w:rsidRPr="004C707F">
        <w:tab/>
        <w:t>92</w:t>
      </w:r>
    </w:p>
    <w:p w:rsidR="004C707F" w:rsidRDefault="00A33273" w:rsidP="00A33273">
      <w:pPr>
        <w:ind w:left="2880" w:hanging="2880"/>
      </w:pPr>
      <w:r>
        <w:t>Schalungstechnik:</w:t>
      </w:r>
      <w:r>
        <w:tab/>
      </w:r>
      <w:r w:rsidR="004C707F">
        <w:t>Produkte:</w:t>
      </w:r>
      <w:r>
        <w:t xml:space="preserve"> Selbstkletterschalung SKE100 plus, Selbstkletterschlaung SKE50 plus, Trägerschalung Top 50, Xlife Schalhaut, Schutzschild Xclimb 60</w:t>
      </w:r>
    </w:p>
    <w:p w:rsidR="004C707F" w:rsidRPr="001C731A" w:rsidRDefault="004C707F" w:rsidP="002C3B72">
      <w:r>
        <w:tab/>
      </w:r>
      <w:r>
        <w:tab/>
      </w:r>
      <w:r>
        <w:tab/>
      </w:r>
      <w:r>
        <w:tab/>
      </w:r>
      <w:r w:rsidRPr="001C731A">
        <w:t>Services:</w:t>
      </w:r>
      <w:r w:rsidR="00C4644F" w:rsidRPr="001C731A">
        <w:t xml:space="preserve"> Richtmeis</w:t>
      </w:r>
      <w:r w:rsidR="008925E9" w:rsidRPr="001C731A">
        <w:t>t</w:t>
      </w:r>
      <w:r w:rsidR="00C4644F" w:rsidRPr="001C731A">
        <w:t>er</w:t>
      </w:r>
      <w:r w:rsidR="001061E2" w:rsidRPr="001C731A">
        <w:t xml:space="preserve"> Malaysia </w:t>
      </w:r>
      <w:r w:rsidR="008925E9" w:rsidRPr="001C731A">
        <w:t>und</w:t>
      </w:r>
      <w:r w:rsidR="001061E2" w:rsidRPr="001C731A">
        <w:t xml:space="preserve"> </w:t>
      </w:r>
      <w:proofErr w:type="spellStart"/>
      <w:r w:rsidR="001061E2" w:rsidRPr="001C731A">
        <w:t>Headquarter</w:t>
      </w:r>
      <w:proofErr w:type="spellEnd"/>
      <w:r w:rsidR="008925E9" w:rsidRPr="001C731A">
        <w:t xml:space="preserve"> Amstetten</w:t>
      </w:r>
    </w:p>
    <w:p w:rsidR="004C707F" w:rsidRPr="001C731A" w:rsidRDefault="004C707F" w:rsidP="00E43C4B">
      <w:pPr>
        <w:ind w:left="2880" w:hanging="2880"/>
      </w:pPr>
      <w:r w:rsidRPr="001C731A">
        <w:t>Schalungsplanung:</w:t>
      </w:r>
      <w:r w:rsidRPr="001C731A">
        <w:tab/>
      </w:r>
      <w:proofErr w:type="spellStart"/>
      <w:r w:rsidR="00C4644F" w:rsidRPr="001C731A">
        <w:t>Doka</w:t>
      </w:r>
      <w:proofErr w:type="spellEnd"/>
      <w:r w:rsidR="00C4644F" w:rsidRPr="001C731A">
        <w:t xml:space="preserve"> Malaysia, </w:t>
      </w:r>
      <w:r w:rsidR="007E2B56">
        <w:t>Global Expertise Center</w:t>
      </w:r>
      <w:r w:rsidR="00C4644F" w:rsidRPr="001C731A">
        <w:t xml:space="preserve"> </w:t>
      </w:r>
      <w:proofErr w:type="spellStart"/>
      <w:r w:rsidR="00C4644F" w:rsidRPr="001C731A">
        <w:t>Highrise</w:t>
      </w:r>
      <w:proofErr w:type="spellEnd"/>
      <w:r w:rsidR="00C4644F" w:rsidRPr="001C731A">
        <w:t xml:space="preserve"> </w:t>
      </w:r>
      <w:proofErr w:type="spellStart"/>
      <w:r w:rsidR="00C4644F" w:rsidRPr="001C731A">
        <w:t>Doka</w:t>
      </w:r>
      <w:proofErr w:type="spellEnd"/>
      <w:r w:rsidR="00C4644F" w:rsidRPr="001C731A">
        <w:t xml:space="preserve"> </w:t>
      </w:r>
      <w:proofErr w:type="spellStart"/>
      <w:r w:rsidR="00C4644F" w:rsidRPr="001C731A">
        <w:t>Headquarters</w:t>
      </w:r>
      <w:proofErr w:type="spellEnd"/>
    </w:p>
    <w:p w:rsidR="00E316F3" w:rsidRDefault="00E316F3" w:rsidP="002C3B72"/>
    <w:p w:rsidR="00440490" w:rsidRPr="001C731A" w:rsidRDefault="00440490" w:rsidP="002C3B72"/>
    <w:p w:rsidR="00E316F3" w:rsidRPr="001C731A" w:rsidRDefault="00E316F3" w:rsidP="002C3B72"/>
    <w:p w:rsidR="005326E6" w:rsidRPr="001C731A" w:rsidRDefault="005326E6" w:rsidP="002C3B72"/>
    <w:p w:rsidR="00E316F3" w:rsidRPr="00F55A4E" w:rsidRDefault="00E316F3" w:rsidP="00E316F3">
      <w:pPr>
        <w:rPr>
          <w:b/>
          <w:sz w:val="20"/>
          <w:szCs w:val="20"/>
        </w:rPr>
      </w:pPr>
      <w:r w:rsidRPr="00F55A4E">
        <w:rPr>
          <w:b/>
          <w:sz w:val="20"/>
          <w:szCs w:val="20"/>
        </w:rPr>
        <w:t xml:space="preserve">Über </w:t>
      </w:r>
      <w:proofErr w:type="spellStart"/>
      <w:r w:rsidRPr="00F55A4E">
        <w:rPr>
          <w:b/>
          <w:sz w:val="20"/>
          <w:szCs w:val="20"/>
        </w:rPr>
        <w:t>Doka</w:t>
      </w:r>
      <w:proofErr w:type="spellEnd"/>
      <w:r w:rsidRPr="00F55A4E">
        <w:rPr>
          <w:b/>
          <w:sz w:val="20"/>
          <w:szCs w:val="20"/>
        </w:rPr>
        <w:t>:</w:t>
      </w:r>
    </w:p>
    <w:p w:rsidR="00E316F3" w:rsidRDefault="00E316F3" w:rsidP="00E316F3">
      <w:pPr>
        <w:rPr>
          <w:rFonts w:cs="Arial"/>
          <w:sz w:val="20"/>
          <w:szCs w:val="20"/>
          <w:lang w:val="de-AT"/>
        </w:rPr>
      </w:pPr>
      <w:proofErr w:type="spellStart"/>
      <w:r w:rsidRPr="00F55A4E">
        <w:rPr>
          <w:rFonts w:cs="Arial"/>
          <w:sz w:val="20"/>
          <w:szCs w:val="20"/>
          <w:lang w:val="de-AT"/>
        </w:rPr>
        <w:t>Doka</w:t>
      </w:r>
      <w:proofErr w:type="spellEnd"/>
      <w:r w:rsidRPr="00F55A4E">
        <w:rPr>
          <w:rFonts w:cs="Arial"/>
          <w:sz w:val="20"/>
          <w:szCs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F55A4E">
        <w:rPr>
          <w:rFonts w:cs="Arial"/>
          <w:sz w:val="20"/>
          <w:szCs w:val="20"/>
          <w:lang w:val="de-AT"/>
        </w:rPr>
        <w:t>Doka</w:t>
      </w:r>
      <w:proofErr w:type="spellEnd"/>
      <w:r w:rsidRPr="00F55A4E">
        <w:rPr>
          <w:rFonts w:cs="Arial"/>
          <w:sz w:val="20"/>
          <w:szCs w:val="20"/>
          <w:lang w:val="de-AT"/>
        </w:rPr>
        <w:t xml:space="preserve"> Group über ein leistungsstarkes Vertriebsnetz und garantiert damit die rasche und professionelle Bereitstellung von Material und technischem Support. Die </w:t>
      </w:r>
      <w:proofErr w:type="spellStart"/>
      <w:r w:rsidRPr="00F55A4E">
        <w:rPr>
          <w:rFonts w:cs="Arial"/>
          <w:sz w:val="20"/>
          <w:szCs w:val="20"/>
          <w:lang w:val="de-AT"/>
        </w:rPr>
        <w:t>Doka</w:t>
      </w:r>
      <w:proofErr w:type="spellEnd"/>
      <w:r w:rsidRPr="00F55A4E">
        <w:rPr>
          <w:rFonts w:cs="Arial"/>
          <w:sz w:val="20"/>
          <w:szCs w:val="20"/>
          <w:lang w:val="de-AT"/>
        </w:rPr>
        <w:t xml:space="preserve"> Group ist ein Unternehmen der </w:t>
      </w:r>
      <w:proofErr w:type="spellStart"/>
      <w:r w:rsidRPr="00F55A4E">
        <w:rPr>
          <w:rFonts w:cs="Arial"/>
          <w:sz w:val="20"/>
          <w:szCs w:val="20"/>
          <w:lang w:val="de-AT"/>
        </w:rPr>
        <w:t>Umdasch</w:t>
      </w:r>
      <w:proofErr w:type="spellEnd"/>
      <w:r w:rsidRPr="00F55A4E">
        <w:rPr>
          <w:rFonts w:cs="Arial"/>
          <w:sz w:val="20"/>
          <w:szCs w:val="20"/>
          <w:lang w:val="de-AT"/>
        </w:rPr>
        <w:t xml:space="preserve"> Group und beschäftigt weltweit mehr als 6</w:t>
      </w:r>
      <w:r>
        <w:rPr>
          <w:rFonts w:cs="Arial"/>
          <w:sz w:val="20"/>
          <w:szCs w:val="20"/>
          <w:lang w:val="de-AT"/>
        </w:rPr>
        <w:t>.</w:t>
      </w:r>
      <w:r w:rsidRPr="00F55A4E">
        <w:rPr>
          <w:rFonts w:cs="Arial"/>
          <w:sz w:val="20"/>
          <w:szCs w:val="20"/>
          <w:lang w:val="de-AT"/>
        </w:rPr>
        <w:t>000 Mitarbeiterinnen und Mitarbeiter.</w:t>
      </w:r>
    </w:p>
    <w:p w:rsidR="00E316F3" w:rsidRDefault="00E316F3" w:rsidP="00E316F3">
      <w:pPr>
        <w:rPr>
          <w:rFonts w:cs="Arial"/>
          <w:sz w:val="20"/>
          <w:szCs w:val="20"/>
        </w:rPr>
      </w:pPr>
    </w:p>
    <w:p w:rsidR="00440490" w:rsidRPr="0065068C" w:rsidRDefault="00440490" w:rsidP="00E316F3">
      <w:pPr>
        <w:rPr>
          <w:rFonts w:cs="Arial"/>
          <w:sz w:val="20"/>
          <w:szCs w:val="20"/>
        </w:rPr>
      </w:pPr>
    </w:p>
    <w:p w:rsidR="00E316F3" w:rsidRDefault="00E316F3" w:rsidP="00E316F3">
      <w:pPr>
        <w:rPr>
          <w:rFonts w:cs="Arial"/>
          <w:b/>
          <w:sz w:val="20"/>
          <w:szCs w:val="20"/>
        </w:rPr>
      </w:pPr>
    </w:p>
    <w:p w:rsidR="00E316F3" w:rsidRDefault="00E316F3" w:rsidP="00E316F3">
      <w:pPr>
        <w:rPr>
          <w:rFonts w:cs="Arial"/>
          <w:b/>
          <w:sz w:val="20"/>
          <w:szCs w:val="20"/>
        </w:rPr>
      </w:pPr>
    </w:p>
    <w:p w:rsidR="00E316F3" w:rsidRPr="00440490" w:rsidRDefault="00E316F3" w:rsidP="00E316F3">
      <w:pPr>
        <w:rPr>
          <w:rFonts w:cs="Arial"/>
          <w:b/>
          <w:sz w:val="20"/>
          <w:szCs w:val="20"/>
          <w:lang w:val="en-US"/>
        </w:rPr>
      </w:pPr>
      <w:proofErr w:type="spellStart"/>
      <w:r w:rsidRPr="00440490">
        <w:rPr>
          <w:rFonts w:cs="Arial"/>
          <w:b/>
          <w:sz w:val="20"/>
          <w:szCs w:val="20"/>
          <w:lang w:val="en-US"/>
        </w:rPr>
        <w:t>Pressekontakt</w:t>
      </w:r>
      <w:proofErr w:type="spellEnd"/>
    </w:p>
    <w:p w:rsidR="00E316F3" w:rsidRPr="00440490" w:rsidRDefault="00E316F3" w:rsidP="00E316F3">
      <w:pPr>
        <w:rPr>
          <w:rFonts w:cs="Arial"/>
          <w:b/>
          <w:sz w:val="20"/>
          <w:szCs w:val="20"/>
          <w:lang w:val="en-US"/>
        </w:rPr>
      </w:pPr>
      <w:proofErr w:type="spellStart"/>
      <w:r w:rsidRPr="00440490">
        <w:rPr>
          <w:rFonts w:cs="Arial"/>
          <w:b/>
          <w:sz w:val="20"/>
          <w:szCs w:val="20"/>
          <w:lang w:val="en-US"/>
        </w:rPr>
        <w:t>Doka</w:t>
      </w:r>
      <w:proofErr w:type="spellEnd"/>
      <w:r w:rsidRPr="00440490">
        <w:rPr>
          <w:rFonts w:cs="Arial"/>
          <w:b/>
          <w:sz w:val="20"/>
          <w:szCs w:val="20"/>
          <w:lang w:val="en-US"/>
        </w:rPr>
        <w:t xml:space="preserve"> Group</w:t>
      </w:r>
    </w:p>
    <w:p w:rsidR="00E316F3" w:rsidRPr="00440490" w:rsidRDefault="00E316F3" w:rsidP="00E316F3">
      <w:pPr>
        <w:rPr>
          <w:rFonts w:cs="Arial"/>
          <w:sz w:val="20"/>
          <w:szCs w:val="20"/>
          <w:lang w:val="en-US"/>
        </w:rPr>
      </w:pPr>
      <w:r w:rsidRPr="00440490">
        <w:rPr>
          <w:rFonts w:cs="Arial"/>
          <w:bCs/>
          <w:sz w:val="20"/>
          <w:szCs w:val="20"/>
          <w:lang w:val="en-US"/>
        </w:rPr>
        <w:t>Alexander Hörschläger</w:t>
      </w:r>
    </w:p>
    <w:p w:rsidR="00E316F3" w:rsidRPr="00440490" w:rsidRDefault="00E316F3" w:rsidP="00E316F3">
      <w:pPr>
        <w:rPr>
          <w:rFonts w:cs="Arial"/>
          <w:sz w:val="20"/>
          <w:szCs w:val="20"/>
          <w:lang w:val="en-US"/>
        </w:rPr>
      </w:pPr>
      <w:r w:rsidRPr="00440490">
        <w:rPr>
          <w:rFonts w:cs="Arial"/>
          <w:sz w:val="20"/>
          <w:szCs w:val="20"/>
          <w:lang w:val="en-US"/>
        </w:rPr>
        <w:t>Head of Public Relations</w:t>
      </w:r>
    </w:p>
    <w:p w:rsidR="00E316F3" w:rsidRPr="00440490" w:rsidRDefault="00E316F3" w:rsidP="00E316F3">
      <w:pPr>
        <w:rPr>
          <w:rFonts w:cs="Arial"/>
          <w:sz w:val="20"/>
          <w:szCs w:val="20"/>
          <w:lang w:val="en-US"/>
        </w:rPr>
      </w:pPr>
      <w:r w:rsidRPr="00440490">
        <w:rPr>
          <w:rFonts w:cs="Arial"/>
          <w:b/>
          <w:bCs/>
          <w:sz w:val="20"/>
          <w:szCs w:val="20"/>
          <w:lang w:val="en-US"/>
        </w:rPr>
        <w:t>M</w:t>
      </w:r>
      <w:r w:rsidRPr="00440490">
        <w:rPr>
          <w:rFonts w:cs="Arial"/>
          <w:sz w:val="20"/>
          <w:szCs w:val="20"/>
          <w:lang w:val="en-US"/>
        </w:rPr>
        <w:t>+43/664/88384478</w:t>
      </w:r>
    </w:p>
    <w:p w:rsidR="00E316F3" w:rsidRPr="00440490" w:rsidRDefault="00A639CB" w:rsidP="00E316F3">
      <w:pPr>
        <w:rPr>
          <w:lang w:val="en-US"/>
        </w:rPr>
      </w:pPr>
      <w:hyperlink r:id="rId8" w:history="1">
        <w:r w:rsidR="00E316F3" w:rsidRPr="00440490">
          <w:rPr>
            <w:rStyle w:val="Hyperlink"/>
            <w:sz w:val="20"/>
            <w:szCs w:val="20"/>
            <w:lang w:val="en-US"/>
          </w:rPr>
          <w:t>alexander.hoerschlaeger@doka.com</w:t>
        </w:r>
      </w:hyperlink>
    </w:p>
    <w:p w:rsidR="00E316F3" w:rsidRPr="00440490" w:rsidRDefault="00E316F3" w:rsidP="002C3B72">
      <w:pPr>
        <w:rPr>
          <w:lang w:val="en-US"/>
        </w:rPr>
      </w:pPr>
    </w:p>
    <w:p w:rsidR="005326E6" w:rsidRPr="00440490" w:rsidRDefault="005326E6" w:rsidP="002C3B72">
      <w:pPr>
        <w:rPr>
          <w:lang w:val="en-US"/>
        </w:rPr>
      </w:pPr>
    </w:p>
    <w:p w:rsidR="00440490" w:rsidRDefault="00440490">
      <w:pPr>
        <w:rPr>
          <w:b/>
          <w:lang w:val="en-US"/>
        </w:rPr>
      </w:pPr>
      <w:r>
        <w:rPr>
          <w:b/>
          <w:lang w:val="en-US"/>
        </w:rPr>
        <w:br w:type="page"/>
      </w:r>
    </w:p>
    <w:p w:rsidR="004C707F" w:rsidRPr="00440490" w:rsidRDefault="009C2EEF" w:rsidP="002C3B72">
      <w:pPr>
        <w:rPr>
          <w:b/>
          <w:sz w:val="20"/>
          <w:szCs w:val="20"/>
          <w:lang w:val="en-US"/>
        </w:rPr>
      </w:pPr>
      <w:proofErr w:type="spellStart"/>
      <w:r>
        <w:rPr>
          <w:b/>
          <w:sz w:val="20"/>
          <w:szCs w:val="20"/>
          <w:lang w:val="en-US"/>
        </w:rPr>
        <w:lastRenderedPageBreak/>
        <w:t>Bildmaterial</w:t>
      </w:r>
      <w:proofErr w:type="spellEnd"/>
    </w:p>
    <w:p w:rsidR="005326E6" w:rsidRPr="00440490" w:rsidRDefault="005326E6" w:rsidP="002C3B72">
      <w:pPr>
        <w:rPr>
          <w:lang w:val="en-US"/>
        </w:rPr>
      </w:pPr>
    </w:p>
    <w:p w:rsidR="00440490" w:rsidRDefault="00150667" w:rsidP="002C3B72">
      <w:pPr>
        <w:rPr>
          <w:i/>
          <w:sz w:val="20"/>
          <w:lang w:val="en-US"/>
        </w:rPr>
      </w:pPr>
      <w:r w:rsidRPr="00150667">
        <w:rPr>
          <w:i/>
          <w:noProof/>
          <w:lang w:eastAsia="de-DE"/>
        </w:rPr>
        <w:drawing>
          <wp:anchor distT="0" distB="0" distL="114300" distR="114300" simplePos="0" relativeHeight="251658240" behindDoc="1" locked="0" layoutInCell="1" allowOverlap="1">
            <wp:simplePos x="0" y="0"/>
            <wp:positionH relativeFrom="column">
              <wp:posOffset>20320</wp:posOffset>
            </wp:positionH>
            <wp:positionV relativeFrom="paragraph">
              <wp:posOffset>-3175</wp:posOffset>
            </wp:positionV>
            <wp:extent cx="1799590" cy="1303655"/>
            <wp:effectExtent l="19050" t="0" r="0" b="0"/>
            <wp:wrapTight wrapText="bothSides">
              <wp:wrapPolygon edited="0">
                <wp:start x="-229" y="0"/>
                <wp:lineTo x="-229" y="21148"/>
                <wp:lineTo x="21493" y="21148"/>
                <wp:lineTo x="21493" y="0"/>
                <wp:lineTo x="-229" y="0"/>
              </wp:wrapPolygon>
            </wp:wrapTight>
            <wp:docPr id="1" name="Bild 1" descr="K:\Public_Relations_and_Communications\Media_Relations\Medienarbeit\2016\Presseinformationen\2016_11_Signature Towe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6\Presseinformationen\2016_11_Signature Tower\k.jpg"/>
                    <pic:cNvPicPr>
                      <a:picLocks noChangeAspect="1" noChangeArrowheads="1"/>
                    </pic:cNvPicPr>
                  </pic:nvPicPr>
                  <pic:blipFill>
                    <a:blip r:embed="rId9" cstate="print"/>
                    <a:srcRect/>
                    <a:stretch>
                      <a:fillRect/>
                    </a:stretch>
                  </pic:blipFill>
                  <pic:spPr bwMode="auto">
                    <a:xfrm>
                      <a:off x="0" y="0"/>
                      <a:ext cx="1799590" cy="1303655"/>
                    </a:xfrm>
                    <a:prstGeom prst="rect">
                      <a:avLst/>
                    </a:prstGeom>
                    <a:noFill/>
                    <a:ln w="9525">
                      <a:noFill/>
                      <a:miter lim="800000"/>
                      <a:headEnd/>
                      <a:tailEnd/>
                    </a:ln>
                  </pic:spPr>
                </pic:pic>
              </a:graphicData>
            </a:graphic>
          </wp:anchor>
        </w:drawing>
      </w:r>
      <w:r w:rsidR="001F67C2" w:rsidRPr="00B70D43">
        <w:rPr>
          <w:i/>
          <w:sz w:val="20"/>
          <w:lang w:val="en-US"/>
        </w:rPr>
        <w:t xml:space="preserve"> </w:t>
      </w:r>
    </w:p>
    <w:p w:rsidR="00440490" w:rsidRDefault="00440490" w:rsidP="002C3B72">
      <w:pPr>
        <w:rPr>
          <w:i/>
          <w:sz w:val="20"/>
          <w:lang w:val="en-US"/>
        </w:rPr>
      </w:pPr>
    </w:p>
    <w:p w:rsidR="00440490" w:rsidRDefault="00440490" w:rsidP="002C3B72">
      <w:pPr>
        <w:rPr>
          <w:i/>
          <w:sz w:val="20"/>
          <w:lang w:val="en-US"/>
        </w:rPr>
      </w:pPr>
    </w:p>
    <w:p w:rsidR="00440490" w:rsidRDefault="00440490" w:rsidP="002C3B72">
      <w:pPr>
        <w:rPr>
          <w:i/>
          <w:sz w:val="20"/>
          <w:lang w:val="en-US"/>
        </w:rPr>
      </w:pPr>
    </w:p>
    <w:p w:rsidR="00440490" w:rsidRDefault="00440490" w:rsidP="002C3B72">
      <w:pPr>
        <w:rPr>
          <w:i/>
          <w:sz w:val="20"/>
          <w:lang w:val="en-US"/>
        </w:rPr>
      </w:pPr>
    </w:p>
    <w:p w:rsidR="00440490" w:rsidRDefault="00440490" w:rsidP="002C3B72">
      <w:pPr>
        <w:rPr>
          <w:i/>
          <w:sz w:val="20"/>
          <w:lang w:val="en-US"/>
        </w:rPr>
      </w:pPr>
    </w:p>
    <w:p w:rsidR="00440490" w:rsidRDefault="00440490" w:rsidP="002C3B72">
      <w:pPr>
        <w:rPr>
          <w:i/>
          <w:sz w:val="20"/>
          <w:lang w:val="en-US"/>
        </w:rPr>
      </w:pPr>
    </w:p>
    <w:p w:rsidR="00440490" w:rsidRDefault="00A34F20" w:rsidP="002C3B72">
      <w:pPr>
        <w:rPr>
          <w:i/>
          <w:sz w:val="20"/>
          <w:lang w:val="en-US"/>
        </w:rPr>
      </w:pPr>
      <w:r w:rsidRPr="00B70D43">
        <w:rPr>
          <w:i/>
          <w:sz w:val="20"/>
          <w:lang w:val="en-US"/>
        </w:rPr>
        <w:t>Doka_2016-12</w:t>
      </w:r>
      <w:r w:rsidR="00150667" w:rsidRPr="00B70D43">
        <w:rPr>
          <w:i/>
          <w:sz w:val="20"/>
          <w:lang w:val="en-US"/>
        </w:rPr>
        <w:t>_</w:t>
      </w:r>
      <w:r w:rsidR="00440490">
        <w:rPr>
          <w:i/>
          <w:sz w:val="20"/>
          <w:lang w:val="en-US"/>
        </w:rPr>
        <w:t>Signature Tower.jpg</w:t>
      </w:r>
    </w:p>
    <w:p w:rsidR="00150667" w:rsidRPr="00440490" w:rsidRDefault="00150667" w:rsidP="002C3B72">
      <w:pPr>
        <w:rPr>
          <w:sz w:val="20"/>
          <w:lang w:val="en-US"/>
        </w:rPr>
      </w:pPr>
      <w:r w:rsidRPr="00440490">
        <w:rPr>
          <w:sz w:val="20"/>
          <w:lang w:val="en-US"/>
        </w:rPr>
        <w:t>©</w:t>
      </w:r>
      <w:r w:rsidR="00440490" w:rsidRPr="00440490">
        <w:rPr>
          <w:sz w:val="20"/>
          <w:lang w:val="en-US"/>
        </w:rPr>
        <w:t xml:space="preserve"> 2016 </w:t>
      </w:r>
      <w:proofErr w:type="spellStart"/>
      <w:r w:rsidR="00B70D43" w:rsidRPr="00440490">
        <w:rPr>
          <w:sz w:val="20"/>
          <w:lang w:val="en-US"/>
        </w:rPr>
        <w:t>Mulia</w:t>
      </w:r>
      <w:proofErr w:type="spellEnd"/>
      <w:r w:rsidR="00B70D43" w:rsidRPr="00440490">
        <w:rPr>
          <w:sz w:val="20"/>
          <w:lang w:val="en-US"/>
        </w:rPr>
        <w:t xml:space="preserve"> Property Development</w:t>
      </w:r>
    </w:p>
    <w:p w:rsidR="00D1040C" w:rsidRPr="00B70D43" w:rsidRDefault="00D1040C" w:rsidP="002C3B72">
      <w:pPr>
        <w:rPr>
          <w:i/>
          <w:sz w:val="20"/>
          <w:lang w:val="en-US"/>
        </w:rPr>
      </w:pPr>
    </w:p>
    <w:p w:rsidR="001F67C2" w:rsidRDefault="007D3045" w:rsidP="001F67C2">
      <w:pPr>
        <w:rPr>
          <w:sz w:val="20"/>
          <w:szCs w:val="20"/>
        </w:rPr>
      </w:pPr>
      <w:r>
        <w:rPr>
          <w:sz w:val="20"/>
          <w:szCs w:val="20"/>
        </w:rPr>
        <w:t>Mit</w:t>
      </w:r>
      <w:r w:rsidR="001F67C2" w:rsidRPr="00D1040C">
        <w:rPr>
          <w:sz w:val="20"/>
          <w:szCs w:val="20"/>
        </w:rPr>
        <w:t xml:space="preserve"> dem 439 m hohen </w:t>
      </w:r>
      <w:proofErr w:type="spellStart"/>
      <w:r w:rsidR="001F67C2" w:rsidRPr="00D1040C">
        <w:rPr>
          <w:sz w:val="20"/>
          <w:szCs w:val="20"/>
        </w:rPr>
        <w:t>Signature</w:t>
      </w:r>
      <w:proofErr w:type="spellEnd"/>
      <w:r w:rsidR="001F67C2" w:rsidRPr="00D1040C">
        <w:rPr>
          <w:sz w:val="20"/>
          <w:szCs w:val="20"/>
        </w:rPr>
        <w:t xml:space="preserve"> Tower </w:t>
      </w:r>
      <w:r>
        <w:rPr>
          <w:sz w:val="20"/>
          <w:szCs w:val="20"/>
        </w:rPr>
        <w:t xml:space="preserve">reiht sich </w:t>
      </w:r>
      <w:r w:rsidR="001F67C2" w:rsidRPr="00D1040C">
        <w:rPr>
          <w:sz w:val="20"/>
          <w:szCs w:val="20"/>
        </w:rPr>
        <w:t xml:space="preserve">ein neues architektonisches Highlight in die Skyline von Kuala Lumpur ein. </w:t>
      </w:r>
    </w:p>
    <w:p w:rsidR="00C6328B" w:rsidRDefault="00C6328B" w:rsidP="001F67C2">
      <w:pPr>
        <w:rPr>
          <w:sz w:val="20"/>
          <w:szCs w:val="20"/>
        </w:rPr>
      </w:pPr>
    </w:p>
    <w:p w:rsidR="002B1823" w:rsidRDefault="002B1823" w:rsidP="001F67C2">
      <w:pPr>
        <w:rPr>
          <w:sz w:val="20"/>
          <w:szCs w:val="20"/>
        </w:rPr>
      </w:pPr>
    </w:p>
    <w:p w:rsidR="002B1823" w:rsidRPr="00F2388D" w:rsidRDefault="00A34F20" w:rsidP="001F67C2">
      <w:pPr>
        <w:rPr>
          <w:i/>
          <w:sz w:val="20"/>
        </w:rPr>
      </w:pPr>
      <w:r w:rsidRPr="00A34F20">
        <w:rPr>
          <w:noProof/>
          <w:sz w:val="20"/>
          <w:szCs w:val="20"/>
          <w:lang w:eastAsia="de-DE"/>
        </w:rPr>
        <w:drawing>
          <wp:inline distT="0" distB="0" distL="0" distR="0">
            <wp:extent cx="1800000" cy="1009939"/>
            <wp:effectExtent l="19050" t="0" r="0" b="0"/>
            <wp:docPr id="4" name="Bild 3" descr="K:\Public_Relations_and_Communications\Media_Relations\Medienarbeit\2016\Presseinformationen\2016_11_Signature Tower\Signature-Tower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Public_Relations_and_Communications\Media_Relations\Medienarbeit\2016\Presseinformationen\2016_11_Signature Tower\Signature-Tower_5.jpg"/>
                    <pic:cNvPicPr>
                      <a:picLocks noChangeAspect="1" noChangeArrowheads="1"/>
                    </pic:cNvPicPr>
                  </pic:nvPicPr>
                  <pic:blipFill>
                    <a:blip r:embed="rId10" cstate="print"/>
                    <a:stretch>
                      <a:fillRect/>
                    </a:stretch>
                  </pic:blipFill>
                  <pic:spPr bwMode="auto">
                    <a:xfrm>
                      <a:off x="0" y="0"/>
                      <a:ext cx="1800000" cy="1009939"/>
                    </a:xfrm>
                    <a:prstGeom prst="rect">
                      <a:avLst/>
                    </a:prstGeom>
                    <a:noFill/>
                    <a:ln w="9525">
                      <a:noFill/>
                      <a:miter lim="800000"/>
                      <a:headEnd/>
                      <a:tailEnd/>
                    </a:ln>
                  </pic:spPr>
                </pic:pic>
              </a:graphicData>
            </a:graphic>
          </wp:inline>
        </w:drawing>
      </w:r>
      <w:r w:rsidR="002B1823" w:rsidRPr="00F2388D">
        <w:rPr>
          <w:i/>
          <w:sz w:val="20"/>
        </w:rPr>
        <w:t xml:space="preserve"> Doka_2016-1</w:t>
      </w:r>
      <w:r w:rsidRPr="00F2388D">
        <w:rPr>
          <w:i/>
          <w:sz w:val="20"/>
        </w:rPr>
        <w:t>2</w:t>
      </w:r>
      <w:r w:rsidR="00440490">
        <w:rPr>
          <w:i/>
          <w:sz w:val="20"/>
        </w:rPr>
        <w:t>_</w:t>
      </w:r>
      <w:r w:rsidR="002B1823" w:rsidRPr="00F2388D">
        <w:rPr>
          <w:i/>
          <w:sz w:val="20"/>
        </w:rPr>
        <w:t>Signature Tower_01.jpg</w:t>
      </w:r>
    </w:p>
    <w:p w:rsidR="002B1823" w:rsidRPr="00F2388D" w:rsidRDefault="002B1823" w:rsidP="001F67C2">
      <w:pPr>
        <w:rPr>
          <w:i/>
          <w:sz w:val="20"/>
        </w:rPr>
      </w:pPr>
    </w:p>
    <w:p w:rsidR="002B1823" w:rsidRDefault="00C4644F" w:rsidP="001F67C2">
      <w:pPr>
        <w:rPr>
          <w:sz w:val="20"/>
          <w:szCs w:val="20"/>
        </w:rPr>
      </w:pPr>
      <w:r>
        <w:rPr>
          <w:sz w:val="20"/>
          <w:szCs w:val="20"/>
        </w:rPr>
        <w:t>Der Gebäudekern ist in zwei Abschnitte unterteilt und wird mit der Selbstkletterschalung SKE100 plus und SKE50 plus errichtet. Die komplette Außenseite eines Abschnittes kann auf einmal über Hydraulikzylinder hochgefahren werden, ohne dass Öffnungen entstehen.</w:t>
      </w:r>
    </w:p>
    <w:p w:rsidR="00023479" w:rsidRDefault="00023479" w:rsidP="001F67C2">
      <w:pPr>
        <w:rPr>
          <w:sz w:val="20"/>
          <w:szCs w:val="20"/>
        </w:rPr>
      </w:pPr>
    </w:p>
    <w:p w:rsidR="00023479" w:rsidRDefault="00023479" w:rsidP="001F67C2">
      <w:pPr>
        <w:rPr>
          <w:sz w:val="20"/>
          <w:szCs w:val="20"/>
        </w:rPr>
      </w:pPr>
    </w:p>
    <w:p w:rsidR="002B1823" w:rsidRPr="00F2388D" w:rsidRDefault="00A34F20" w:rsidP="002B1823">
      <w:pPr>
        <w:rPr>
          <w:i/>
          <w:sz w:val="20"/>
        </w:rPr>
      </w:pPr>
      <w:r w:rsidRPr="00A34F20">
        <w:rPr>
          <w:noProof/>
          <w:sz w:val="20"/>
          <w:lang w:eastAsia="de-DE"/>
        </w:rPr>
        <w:drawing>
          <wp:inline distT="0" distB="0" distL="0" distR="0">
            <wp:extent cx="1800000" cy="1200385"/>
            <wp:effectExtent l="19050" t="0" r="0" b="0"/>
            <wp:docPr id="7" name="Bild 2" descr="K:\Public_Relations_and_Communications\Media_Relations\Medienarbeit\2016\Presseinformationen\2016_11_Signature Tower\Signature-Tower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6\Presseinformationen\2016_11_Signature Tower\Signature-Tower_12.jpg"/>
                    <pic:cNvPicPr>
                      <a:picLocks noChangeAspect="1" noChangeArrowheads="1"/>
                    </pic:cNvPicPr>
                  </pic:nvPicPr>
                  <pic:blipFill>
                    <a:blip r:embed="rId11" cstate="print"/>
                    <a:stretch>
                      <a:fillRect/>
                    </a:stretch>
                  </pic:blipFill>
                  <pic:spPr bwMode="auto">
                    <a:xfrm>
                      <a:off x="0" y="0"/>
                      <a:ext cx="1800000" cy="1200385"/>
                    </a:xfrm>
                    <a:prstGeom prst="rect">
                      <a:avLst/>
                    </a:prstGeom>
                    <a:noFill/>
                    <a:ln w="9525">
                      <a:noFill/>
                      <a:miter lim="800000"/>
                      <a:headEnd/>
                      <a:tailEnd/>
                    </a:ln>
                  </pic:spPr>
                </pic:pic>
              </a:graphicData>
            </a:graphic>
          </wp:inline>
        </w:drawing>
      </w:r>
      <w:r w:rsidRPr="00F2388D">
        <w:rPr>
          <w:i/>
          <w:sz w:val="20"/>
        </w:rPr>
        <w:t xml:space="preserve"> Doka_2016-12</w:t>
      </w:r>
      <w:r w:rsidR="002B1823" w:rsidRPr="00F2388D">
        <w:rPr>
          <w:i/>
          <w:sz w:val="20"/>
        </w:rPr>
        <w:t>_Signature Tower_02.jpg</w:t>
      </w:r>
    </w:p>
    <w:p w:rsidR="002B1823" w:rsidRPr="00F2388D" w:rsidRDefault="002B1823" w:rsidP="002B1823">
      <w:pPr>
        <w:rPr>
          <w:sz w:val="20"/>
        </w:rPr>
      </w:pPr>
    </w:p>
    <w:p w:rsidR="002B1823" w:rsidRPr="002B1823" w:rsidRDefault="002B1823" w:rsidP="002B1823">
      <w:pPr>
        <w:rPr>
          <w:sz w:val="20"/>
          <w:szCs w:val="20"/>
        </w:rPr>
      </w:pPr>
      <w:r w:rsidRPr="002B1823">
        <w:rPr>
          <w:sz w:val="20"/>
          <w:szCs w:val="20"/>
        </w:rPr>
        <w:t>Vora</w:t>
      </w:r>
      <w:r w:rsidR="009C2EEF">
        <w:rPr>
          <w:sz w:val="20"/>
          <w:szCs w:val="20"/>
        </w:rPr>
        <w:t>usschauende Schalungsplanung – d</w:t>
      </w:r>
      <w:r w:rsidRPr="002B1823">
        <w:rPr>
          <w:sz w:val="20"/>
          <w:szCs w:val="20"/>
        </w:rPr>
        <w:t xml:space="preserve">ie Kräne wurden </w:t>
      </w:r>
      <w:r w:rsidR="00C4644F">
        <w:rPr>
          <w:sz w:val="20"/>
          <w:szCs w:val="20"/>
        </w:rPr>
        <w:t xml:space="preserve">im Schalungskonzept von Anfang an berücksichtigt und fügen sich nahtlos ein. </w:t>
      </w:r>
      <w:r w:rsidRPr="002B1823">
        <w:rPr>
          <w:sz w:val="20"/>
          <w:szCs w:val="20"/>
        </w:rPr>
        <w:t xml:space="preserve"> </w:t>
      </w:r>
    </w:p>
    <w:p w:rsidR="002B1823" w:rsidRDefault="002B1823" w:rsidP="002B1823"/>
    <w:p w:rsidR="002B1823" w:rsidRPr="002B1823" w:rsidRDefault="002B1823" w:rsidP="001F67C2"/>
    <w:p w:rsidR="00CD72B1" w:rsidRDefault="00A34F20" w:rsidP="002C3B72">
      <w:pPr>
        <w:rPr>
          <w:i/>
          <w:sz w:val="20"/>
        </w:rPr>
      </w:pPr>
      <w:r w:rsidRPr="00A34F20">
        <w:rPr>
          <w:i/>
          <w:noProof/>
          <w:sz w:val="20"/>
          <w:lang w:eastAsia="de-DE"/>
        </w:rPr>
        <w:drawing>
          <wp:inline distT="0" distB="0" distL="0" distR="0">
            <wp:extent cx="1800000" cy="1200385"/>
            <wp:effectExtent l="19050" t="0" r="0" b="0"/>
            <wp:docPr id="8" name="Bild 1" descr="K:\Public_Relations_and_Communications\Media_Relations\Medienarbeit\2016\Presseinformationen\2016_11_Signature Tower\Signature-Tower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6\Presseinformationen\2016_11_Signature Tower\Signature-Tower_3.jpg"/>
                    <pic:cNvPicPr>
                      <a:picLocks noChangeAspect="1" noChangeArrowheads="1"/>
                    </pic:cNvPicPr>
                  </pic:nvPicPr>
                  <pic:blipFill>
                    <a:blip r:embed="rId12" cstate="print"/>
                    <a:stretch>
                      <a:fillRect/>
                    </a:stretch>
                  </pic:blipFill>
                  <pic:spPr bwMode="auto">
                    <a:xfrm>
                      <a:off x="0" y="0"/>
                      <a:ext cx="1800000" cy="1200385"/>
                    </a:xfrm>
                    <a:prstGeom prst="rect">
                      <a:avLst/>
                    </a:prstGeom>
                    <a:noFill/>
                    <a:ln w="9525">
                      <a:noFill/>
                      <a:miter lim="800000"/>
                      <a:headEnd/>
                      <a:tailEnd/>
                    </a:ln>
                  </pic:spPr>
                </pic:pic>
              </a:graphicData>
            </a:graphic>
          </wp:inline>
        </w:drawing>
      </w:r>
      <w:r>
        <w:rPr>
          <w:i/>
          <w:sz w:val="20"/>
        </w:rPr>
        <w:t xml:space="preserve"> Doka_2016-12</w:t>
      </w:r>
      <w:r w:rsidR="00D1040C" w:rsidRPr="002B1823">
        <w:rPr>
          <w:i/>
          <w:sz w:val="20"/>
        </w:rPr>
        <w:t>_Signature Tower_0</w:t>
      </w:r>
      <w:r w:rsidR="002B1823" w:rsidRPr="002B1823">
        <w:rPr>
          <w:i/>
          <w:sz w:val="20"/>
        </w:rPr>
        <w:t>3</w:t>
      </w:r>
      <w:r w:rsidR="00D1040C" w:rsidRPr="002B1823">
        <w:rPr>
          <w:i/>
          <w:sz w:val="20"/>
        </w:rPr>
        <w:t>.jpg</w:t>
      </w:r>
    </w:p>
    <w:p w:rsidR="002B1823" w:rsidRPr="002B1823" w:rsidRDefault="002B1823" w:rsidP="002C3B72">
      <w:pPr>
        <w:rPr>
          <w:i/>
          <w:sz w:val="20"/>
        </w:rPr>
      </w:pPr>
    </w:p>
    <w:p w:rsidR="004C56CF" w:rsidRPr="00A666AA" w:rsidRDefault="00D1040C" w:rsidP="002C3B72">
      <w:pPr>
        <w:rPr>
          <w:i/>
          <w:sz w:val="20"/>
        </w:rPr>
      </w:pPr>
      <w:r w:rsidRPr="001F67C2">
        <w:rPr>
          <w:sz w:val="20"/>
        </w:rPr>
        <w:t xml:space="preserve">Über das aufgehende Gerüst im Selbstklettersystem SKE100 plus können die Anker schnell und einfach bedient werden. </w:t>
      </w:r>
    </w:p>
    <w:sectPr w:rsidR="004C56CF" w:rsidRPr="00A666AA" w:rsidSect="00326EB2">
      <w:headerReference w:type="default" r:id="rId13"/>
      <w:pgSz w:w="11906" w:h="16838" w:code="9"/>
      <w:pgMar w:top="2552" w:right="1134" w:bottom="1560"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EEF" w:rsidRDefault="009C2EEF">
      <w:r>
        <w:separator/>
      </w:r>
    </w:p>
  </w:endnote>
  <w:endnote w:type="continuationSeparator" w:id="0">
    <w:p w:rsidR="009C2EEF" w:rsidRDefault="009C2E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EEF" w:rsidRDefault="009C2EEF">
      <w:r>
        <w:separator/>
      </w:r>
    </w:p>
  </w:footnote>
  <w:footnote w:type="continuationSeparator" w:id="0">
    <w:p w:rsidR="009C2EEF" w:rsidRDefault="009C2E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EEF" w:rsidRDefault="009C2EEF"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t xml:space="preserve"> / Dezember 2016</w:t>
    </w:r>
  </w:p>
  <w:p w:rsidR="009C2EEF" w:rsidRDefault="009C2EEF" w:rsidP="008F2ADD">
    <w:pPr>
      <w:pStyle w:val="Kopfzeile"/>
    </w:pPr>
  </w:p>
  <w:p w:rsidR="009C2EEF" w:rsidRPr="00E43CB4" w:rsidRDefault="009C2EEF" w:rsidP="008F2ADD">
    <w:pPr>
      <w:pStyle w:val="Kopfzeile"/>
      <w:jc w:val="right"/>
    </w:pPr>
  </w:p>
  <w:p w:rsidR="009C2EEF" w:rsidRDefault="009C2EEF" w:rsidP="008F2ADD">
    <w:pPr>
      <w:pStyle w:val="Kopfzeile"/>
      <w:jc w:val="right"/>
    </w:pPr>
  </w:p>
  <w:p w:rsidR="009C2EEF" w:rsidRDefault="009C2EEF">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6865"/>
  </w:hdrShapeDefaults>
  <w:footnotePr>
    <w:footnote w:id="-1"/>
    <w:footnote w:id="0"/>
  </w:footnotePr>
  <w:endnotePr>
    <w:endnote w:id="-1"/>
    <w:endnote w:id="0"/>
  </w:endnotePr>
  <w:compat/>
  <w:rsids>
    <w:rsidRoot w:val="004C707F"/>
    <w:rsid w:val="00005BA4"/>
    <w:rsid w:val="0001239A"/>
    <w:rsid w:val="00015F66"/>
    <w:rsid w:val="00016591"/>
    <w:rsid w:val="00022C99"/>
    <w:rsid w:val="00023479"/>
    <w:rsid w:val="000251EE"/>
    <w:rsid w:val="00030363"/>
    <w:rsid w:val="00037AC8"/>
    <w:rsid w:val="000457D7"/>
    <w:rsid w:val="00056EC9"/>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061E2"/>
    <w:rsid w:val="00121825"/>
    <w:rsid w:val="00123655"/>
    <w:rsid w:val="001377E1"/>
    <w:rsid w:val="00141D03"/>
    <w:rsid w:val="00144091"/>
    <w:rsid w:val="0014515C"/>
    <w:rsid w:val="00145700"/>
    <w:rsid w:val="0015009A"/>
    <w:rsid w:val="00150667"/>
    <w:rsid w:val="00150745"/>
    <w:rsid w:val="00151116"/>
    <w:rsid w:val="001529C9"/>
    <w:rsid w:val="001532FF"/>
    <w:rsid w:val="001550EB"/>
    <w:rsid w:val="00161368"/>
    <w:rsid w:val="001629CD"/>
    <w:rsid w:val="00165E1B"/>
    <w:rsid w:val="00167DC2"/>
    <w:rsid w:val="00191504"/>
    <w:rsid w:val="00191F1C"/>
    <w:rsid w:val="00192844"/>
    <w:rsid w:val="0019341F"/>
    <w:rsid w:val="001A3C69"/>
    <w:rsid w:val="001B24D6"/>
    <w:rsid w:val="001B66E8"/>
    <w:rsid w:val="001C2B26"/>
    <w:rsid w:val="001C731A"/>
    <w:rsid w:val="001D775D"/>
    <w:rsid w:val="001E625B"/>
    <w:rsid w:val="001F0607"/>
    <w:rsid w:val="001F4501"/>
    <w:rsid w:val="001F4C64"/>
    <w:rsid w:val="001F67C2"/>
    <w:rsid w:val="0020125E"/>
    <w:rsid w:val="002046D6"/>
    <w:rsid w:val="00206107"/>
    <w:rsid w:val="00212D77"/>
    <w:rsid w:val="00215461"/>
    <w:rsid w:val="0021737B"/>
    <w:rsid w:val="00217920"/>
    <w:rsid w:val="0022681D"/>
    <w:rsid w:val="0023241C"/>
    <w:rsid w:val="002349EA"/>
    <w:rsid w:val="0024357E"/>
    <w:rsid w:val="002518A2"/>
    <w:rsid w:val="00255FAB"/>
    <w:rsid w:val="00270768"/>
    <w:rsid w:val="0028229F"/>
    <w:rsid w:val="002878DF"/>
    <w:rsid w:val="00292958"/>
    <w:rsid w:val="002955F7"/>
    <w:rsid w:val="002A0E48"/>
    <w:rsid w:val="002A3351"/>
    <w:rsid w:val="002A48AA"/>
    <w:rsid w:val="002A560B"/>
    <w:rsid w:val="002A6293"/>
    <w:rsid w:val="002A6736"/>
    <w:rsid w:val="002B0A77"/>
    <w:rsid w:val="002B1823"/>
    <w:rsid w:val="002B7048"/>
    <w:rsid w:val="002B77BD"/>
    <w:rsid w:val="002C3B72"/>
    <w:rsid w:val="002C4E8E"/>
    <w:rsid w:val="002C79F1"/>
    <w:rsid w:val="002D1CC4"/>
    <w:rsid w:val="002F0538"/>
    <w:rsid w:val="002F6989"/>
    <w:rsid w:val="002F7D5C"/>
    <w:rsid w:val="0030061E"/>
    <w:rsid w:val="003008C0"/>
    <w:rsid w:val="00315B0E"/>
    <w:rsid w:val="00316391"/>
    <w:rsid w:val="003254C3"/>
    <w:rsid w:val="00325611"/>
    <w:rsid w:val="00326EB2"/>
    <w:rsid w:val="00357C2A"/>
    <w:rsid w:val="003631D1"/>
    <w:rsid w:val="003716EB"/>
    <w:rsid w:val="00371B67"/>
    <w:rsid w:val="00375913"/>
    <w:rsid w:val="003764D7"/>
    <w:rsid w:val="00380A98"/>
    <w:rsid w:val="00383394"/>
    <w:rsid w:val="00386AD2"/>
    <w:rsid w:val="00393CDB"/>
    <w:rsid w:val="003A5B0C"/>
    <w:rsid w:val="003A79FC"/>
    <w:rsid w:val="003B3FCB"/>
    <w:rsid w:val="003D2149"/>
    <w:rsid w:val="003E1B7C"/>
    <w:rsid w:val="003E4C7C"/>
    <w:rsid w:val="003E679B"/>
    <w:rsid w:val="003F1085"/>
    <w:rsid w:val="003F1419"/>
    <w:rsid w:val="003F2D41"/>
    <w:rsid w:val="00410041"/>
    <w:rsid w:val="00414531"/>
    <w:rsid w:val="004165BC"/>
    <w:rsid w:val="004235FA"/>
    <w:rsid w:val="00424EB9"/>
    <w:rsid w:val="004270A9"/>
    <w:rsid w:val="00430B08"/>
    <w:rsid w:val="004361E6"/>
    <w:rsid w:val="00440490"/>
    <w:rsid w:val="00455EFF"/>
    <w:rsid w:val="00461AEE"/>
    <w:rsid w:val="00463017"/>
    <w:rsid w:val="004639B7"/>
    <w:rsid w:val="00463CD4"/>
    <w:rsid w:val="00474177"/>
    <w:rsid w:val="004758D0"/>
    <w:rsid w:val="0048426A"/>
    <w:rsid w:val="004A0EF2"/>
    <w:rsid w:val="004A11B0"/>
    <w:rsid w:val="004B0024"/>
    <w:rsid w:val="004C51BD"/>
    <w:rsid w:val="004C56CF"/>
    <w:rsid w:val="004C707F"/>
    <w:rsid w:val="004E01A8"/>
    <w:rsid w:val="004E5EFD"/>
    <w:rsid w:val="004F0C47"/>
    <w:rsid w:val="005040D1"/>
    <w:rsid w:val="00514C50"/>
    <w:rsid w:val="005151C6"/>
    <w:rsid w:val="0051534D"/>
    <w:rsid w:val="00522770"/>
    <w:rsid w:val="005257A0"/>
    <w:rsid w:val="00531302"/>
    <w:rsid w:val="005326E6"/>
    <w:rsid w:val="00533B9D"/>
    <w:rsid w:val="00541415"/>
    <w:rsid w:val="005428D8"/>
    <w:rsid w:val="00564AF1"/>
    <w:rsid w:val="00575CDA"/>
    <w:rsid w:val="00594A33"/>
    <w:rsid w:val="005965EE"/>
    <w:rsid w:val="005A57D3"/>
    <w:rsid w:val="005C05EF"/>
    <w:rsid w:val="005C4ED3"/>
    <w:rsid w:val="005D590E"/>
    <w:rsid w:val="005F4E67"/>
    <w:rsid w:val="00605ED4"/>
    <w:rsid w:val="00616559"/>
    <w:rsid w:val="006174CA"/>
    <w:rsid w:val="00617F54"/>
    <w:rsid w:val="00624324"/>
    <w:rsid w:val="0062650A"/>
    <w:rsid w:val="00626A22"/>
    <w:rsid w:val="00633874"/>
    <w:rsid w:val="00636028"/>
    <w:rsid w:val="00641955"/>
    <w:rsid w:val="006459F5"/>
    <w:rsid w:val="006542E6"/>
    <w:rsid w:val="006568C4"/>
    <w:rsid w:val="00673A41"/>
    <w:rsid w:val="006748FC"/>
    <w:rsid w:val="00676BB2"/>
    <w:rsid w:val="00692780"/>
    <w:rsid w:val="006A4302"/>
    <w:rsid w:val="006B44CA"/>
    <w:rsid w:val="006B6F45"/>
    <w:rsid w:val="006C0CAA"/>
    <w:rsid w:val="006D11DF"/>
    <w:rsid w:val="006D2F3F"/>
    <w:rsid w:val="006D4BCB"/>
    <w:rsid w:val="006E1201"/>
    <w:rsid w:val="006F4ED2"/>
    <w:rsid w:val="006F54ED"/>
    <w:rsid w:val="00700FC1"/>
    <w:rsid w:val="00701B60"/>
    <w:rsid w:val="007107B6"/>
    <w:rsid w:val="00712661"/>
    <w:rsid w:val="007405E7"/>
    <w:rsid w:val="00743D15"/>
    <w:rsid w:val="0074598C"/>
    <w:rsid w:val="00745CFC"/>
    <w:rsid w:val="007468BB"/>
    <w:rsid w:val="0075418C"/>
    <w:rsid w:val="00754E98"/>
    <w:rsid w:val="007619EF"/>
    <w:rsid w:val="00761C3D"/>
    <w:rsid w:val="00765BFB"/>
    <w:rsid w:val="00782A7A"/>
    <w:rsid w:val="0078579B"/>
    <w:rsid w:val="00786FD8"/>
    <w:rsid w:val="007A4A33"/>
    <w:rsid w:val="007B112B"/>
    <w:rsid w:val="007B27E3"/>
    <w:rsid w:val="007B36E6"/>
    <w:rsid w:val="007C1F7C"/>
    <w:rsid w:val="007C4F72"/>
    <w:rsid w:val="007D13FB"/>
    <w:rsid w:val="007D28A3"/>
    <w:rsid w:val="007D3045"/>
    <w:rsid w:val="007D3940"/>
    <w:rsid w:val="007E09C2"/>
    <w:rsid w:val="007E243A"/>
    <w:rsid w:val="007E2B56"/>
    <w:rsid w:val="007F1B5C"/>
    <w:rsid w:val="00802C3F"/>
    <w:rsid w:val="008071E0"/>
    <w:rsid w:val="00807495"/>
    <w:rsid w:val="008122E0"/>
    <w:rsid w:val="008168B4"/>
    <w:rsid w:val="00826274"/>
    <w:rsid w:val="008406A8"/>
    <w:rsid w:val="00841263"/>
    <w:rsid w:val="0084602A"/>
    <w:rsid w:val="00853D71"/>
    <w:rsid w:val="00856656"/>
    <w:rsid w:val="00861C28"/>
    <w:rsid w:val="00862648"/>
    <w:rsid w:val="0087423F"/>
    <w:rsid w:val="008850B1"/>
    <w:rsid w:val="0088590F"/>
    <w:rsid w:val="008925E9"/>
    <w:rsid w:val="00892BD9"/>
    <w:rsid w:val="008938F0"/>
    <w:rsid w:val="00894A7D"/>
    <w:rsid w:val="00894E04"/>
    <w:rsid w:val="008956EC"/>
    <w:rsid w:val="008A7C47"/>
    <w:rsid w:val="008B7FD4"/>
    <w:rsid w:val="008C24F7"/>
    <w:rsid w:val="008C3FD8"/>
    <w:rsid w:val="008C7981"/>
    <w:rsid w:val="008D1E1D"/>
    <w:rsid w:val="008D3FB1"/>
    <w:rsid w:val="008E01B1"/>
    <w:rsid w:val="008E371D"/>
    <w:rsid w:val="008E3802"/>
    <w:rsid w:val="008F2ADD"/>
    <w:rsid w:val="009036B6"/>
    <w:rsid w:val="009059DD"/>
    <w:rsid w:val="0091326C"/>
    <w:rsid w:val="0091399C"/>
    <w:rsid w:val="009142E4"/>
    <w:rsid w:val="009249D5"/>
    <w:rsid w:val="00925429"/>
    <w:rsid w:val="0093020F"/>
    <w:rsid w:val="009355F1"/>
    <w:rsid w:val="009427E9"/>
    <w:rsid w:val="00946116"/>
    <w:rsid w:val="00947EF7"/>
    <w:rsid w:val="00950FA8"/>
    <w:rsid w:val="00955FDB"/>
    <w:rsid w:val="009641AB"/>
    <w:rsid w:val="00966E67"/>
    <w:rsid w:val="00971C3F"/>
    <w:rsid w:val="00971E7C"/>
    <w:rsid w:val="00975006"/>
    <w:rsid w:val="009753D5"/>
    <w:rsid w:val="00980B19"/>
    <w:rsid w:val="0098308A"/>
    <w:rsid w:val="009834DC"/>
    <w:rsid w:val="00992DAA"/>
    <w:rsid w:val="009A00A8"/>
    <w:rsid w:val="009A0EB6"/>
    <w:rsid w:val="009A1B3F"/>
    <w:rsid w:val="009A2A80"/>
    <w:rsid w:val="009A3E1E"/>
    <w:rsid w:val="009C2EEF"/>
    <w:rsid w:val="009E3BD4"/>
    <w:rsid w:val="009F1709"/>
    <w:rsid w:val="009F502C"/>
    <w:rsid w:val="009F780B"/>
    <w:rsid w:val="00A02AFD"/>
    <w:rsid w:val="00A0387C"/>
    <w:rsid w:val="00A17DD2"/>
    <w:rsid w:val="00A221B3"/>
    <w:rsid w:val="00A247B8"/>
    <w:rsid w:val="00A25681"/>
    <w:rsid w:val="00A262A3"/>
    <w:rsid w:val="00A33273"/>
    <w:rsid w:val="00A34F20"/>
    <w:rsid w:val="00A35E0B"/>
    <w:rsid w:val="00A4043A"/>
    <w:rsid w:val="00A62EEB"/>
    <w:rsid w:val="00A639CB"/>
    <w:rsid w:val="00A666AA"/>
    <w:rsid w:val="00A72016"/>
    <w:rsid w:val="00A758AD"/>
    <w:rsid w:val="00A80792"/>
    <w:rsid w:val="00A80CDE"/>
    <w:rsid w:val="00A833FC"/>
    <w:rsid w:val="00A9358B"/>
    <w:rsid w:val="00A94BF0"/>
    <w:rsid w:val="00A957C5"/>
    <w:rsid w:val="00AA1120"/>
    <w:rsid w:val="00AA1B03"/>
    <w:rsid w:val="00AA4BB9"/>
    <w:rsid w:val="00AB4CCF"/>
    <w:rsid w:val="00AB5699"/>
    <w:rsid w:val="00AC5F9C"/>
    <w:rsid w:val="00AC7E2C"/>
    <w:rsid w:val="00AE3D60"/>
    <w:rsid w:val="00AE59B2"/>
    <w:rsid w:val="00AE68AC"/>
    <w:rsid w:val="00AF032B"/>
    <w:rsid w:val="00AF0FDF"/>
    <w:rsid w:val="00AF4B4A"/>
    <w:rsid w:val="00AF7050"/>
    <w:rsid w:val="00B03209"/>
    <w:rsid w:val="00B10489"/>
    <w:rsid w:val="00B17C01"/>
    <w:rsid w:val="00B31243"/>
    <w:rsid w:val="00B3679E"/>
    <w:rsid w:val="00B41F42"/>
    <w:rsid w:val="00B42655"/>
    <w:rsid w:val="00B43CC4"/>
    <w:rsid w:val="00B56D6D"/>
    <w:rsid w:val="00B61DDC"/>
    <w:rsid w:val="00B70D43"/>
    <w:rsid w:val="00B75217"/>
    <w:rsid w:val="00B878D2"/>
    <w:rsid w:val="00B924BD"/>
    <w:rsid w:val="00BA38D4"/>
    <w:rsid w:val="00BA412F"/>
    <w:rsid w:val="00BA4A3F"/>
    <w:rsid w:val="00BA6027"/>
    <w:rsid w:val="00BB5CC5"/>
    <w:rsid w:val="00BD32D2"/>
    <w:rsid w:val="00BD56B6"/>
    <w:rsid w:val="00BD6411"/>
    <w:rsid w:val="00BE1E4D"/>
    <w:rsid w:val="00BE6351"/>
    <w:rsid w:val="00BF3671"/>
    <w:rsid w:val="00BF4F0B"/>
    <w:rsid w:val="00BF53C0"/>
    <w:rsid w:val="00C0412F"/>
    <w:rsid w:val="00C07526"/>
    <w:rsid w:val="00C3199D"/>
    <w:rsid w:val="00C411C2"/>
    <w:rsid w:val="00C4644F"/>
    <w:rsid w:val="00C54060"/>
    <w:rsid w:val="00C540FC"/>
    <w:rsid w:val="00C54DD9"/>
    <w:rsid w:val="00C6065C"/>
    <w:rsid w:val="00C6328B"/>
    <w:rsid w:val="00C700EB"/>
    <w:rsid w:val="00C76077"/>
    <w:rsid w:val="00C80ADD"/>
    <w:rsid w:val="00C82CDD"/>
    <w:rsid w:val="00C84193"/>
    <w:rsid w:val="00C846DE"/>
    <w:rsid w:val="00C87F73"/>
    <w:rsid w:val="00C969D7"/>
    <w:rsid w:val="00C97B3E"/>
    <w:rsid w:val="00CA269C"/>
    <w:rsid w:val="00CB1A96"/>
    <w:rsid w:val="00CB3DFD"/>
    <w:rsid w:val="00CC3127"/>
    <w:rsid w:val="00CC6205"/>
    <w:rsid w:val="00CC7851"/>
    <w:rsid w:val="00CC78E2"/>
    <w:rsid w:val="00CD72B1"/>
    <w:rsid w:val="00CE716B"/>
    <w:rsid w:val="00CF3205"/>
    <w:rsid w:val="00CF52D3"/>
    <w:rsid w:val="00D1040C"/>
    <w:rsid w:val="00D13D5D"/>
    <w:rsid w:val="00D16444"/>
    <w:rsid w:val="00D16F2B"/>
    <w:rsid w:val="00D21002"/>
    <w:rsid w:val="00D260AF"/>
    <w:rsid w:val="00D35DAE"/>
    <w:rsid w:val="00D366AC"/>
    <w:rsid w:val="00D42D17"/>
    <w:rsid w:val="00D5228A"/>
    <w:rsid w:val="00D53AF3"/>
    <w:rsid w:val="00D54F3D"/>
    <w:rsid w:val="00D5564E"/>
    <w:rsid w:val="00D5596D"/>
    <w:rsid w:val="00D663D3"/>
    <w:rsid w:val="00D70E7C"/>
    <w:rsid w:val="00D77625"/>
    <w:rsid w:val="00D7770E"/>
    <w:rsid w:val="00D8057E"/>
    <w:rsid w:val="00D8761F"/>
    <w:rsid w:val="00D9080D"/>
    <w:rsid w:val="00D9470E"/>
    <w:rsid w:val="00D95201"/>
    <w:rsid w:val="00D95C3F"/>
    <w:rsid w:val="00DA3001"/>
    <w:rsid w:val="00DA459A"/>
    <w:rsid w:val="00DB557B"/>
    <w:rsid w:val="00DB59D2"/>
    <w:rsid w:val="00DB71FF"/>
    <w:rsid w:val="00DC30D3"/>
    <w:rsid w:val="00DC5E5C"/>
    <w:rsid w:val="00DD0AA3"/>
    <w:rsid w:val="00DD1778"/>
    <w:rsid w:val="00DE09B4"/>
    <w:rsid w:val="00DE2E10"/>
    <w:rsid w:val="00E01C63"/>
    <w:rsid w:val="00E0389B"/>
    <w:rsid w:val="00E2599F"/>
    <w:rsid w:val="00E303B9"/>
    <w:rsid w:val="00E316F3"/>
    <w:rsid w:val="00E42DE3"/>
    <w:rsid w:val="00E43C4B"/>
    <w:rsid w:val="00E454A2"/>
    <w:rsid w:val="00E46FD1"/>
    <w:rsid w:val="00E51BBF"/>
    <w:rsid w:val="00E533A0"/>
    <w:rsid w:val="00E629C9"/>
    <w:rsid w:val="00E80C5C"/>
    <w:rsid w:val="00E821B8"/>
    <w:rsid w:val="00E863D4"/>
    <w:rsid w:val="00E90D17"/>
    <w:rsid w:val="00E92FD5"/>
    <w:rsid w:val="00EA0280"/>
    <w:rsid w:val="00EA377C"/>
    <w:rsid w:val="00EA3937"/>
    <w:rsid w:val="00EB4180"/>
    <w:rsid w:val="00EC544C"/>
    <w:rsid w:val="00EC77A6"/>
    <w:rsid w:val="00EC7A4A"/>
    <w:rsid w:val="00ED0EBA"/>
    <w:rsid w:val="00ED11AA"/>
    <w:rsid w:val="00EF3FE2"/>
    <w:rsid w:val="00EF685F"/>
    <w:rsid w:val="00EF73DF"/>
    <w:rsid w:val="00F12941"/>
    <w:rsid w:val="00F14D8B"/>
    <w:rsid w:val="00F15F1C"/>
    <w:rsid w:val="00F162CE"/>
    <w:rsid w:val="00F20741"/>
    <w:rsid w:val="00F2388D"/>
    <w:rsid w:val="00F3044D"/>
    <w:rsid w:val="00F500C7"/>
    <w:rsid w:val="00F50BEE"/>
    <w:rsid w:val="00F74863"/>
    <w:rsid w:val="00F76C46"/>
    <w:rsid w:val="00F83031"/>
    <w:rsid w:val="00F90F42"/>
    <w:rsid w:val="00F9491A"/>
    <w:rsid w:val="00F97455"/>
    <w:rsid w:val="00FA7083"/>
    <w:rsid w:val="00FB5539"/>
    <w:rsid w:val="00FB575D"/>
    <w:rsid w:val="00FC06EC"/>
    <w:rsid w:val="00FD2175"/>
    <w:rsid w:val="00FF07AB"/>
    <w:rsid w:val="00FF37F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s>
</file>

<file path=word/webSettings.xml><?xml version="1.0" encoding="utf-8"?>
<w:webSettings xmlns:r="http://schemas.openxmlformats.org/officeDocument/2006/relationships" xmlns:w="http://schemas.openxmlformats.org/wordprocessingml/2006/main">
  <w:divs>
    <w:div w:id="55994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hoerschlaeger@doka.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D811B6-297D-4ECF-ACFC-72E9C2B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1176</Words>
  <Characters>8017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Lang Sandra</cp:lastModifiedBy>
  <cp:revision>14</cp:revision>
  <cp:lastPrinted>2016-12-06T10:29:00Z</cp:lastPrinted>
  <dcterms:created xsi:type="dcterms:W3CDTF">2016-12-06T11:32:00Z</dcterms:created>
  <dcterms:modified xsi:type="dcterms:W3CDTF">2016-12-07T06:22:00Z</dcterms:modified>
</cp:coreProperties>
</file>